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5E972" w14:textId="77777777" w:rsidR="00233DCF" w:rsidRPr="0035097C" w:rsidRDefault="00233DCF" w:rsidP="00233DCF">
      <w:pPr>
        <w:rPr>
          <w:b/>
          <w:bCs/>
        </w:rPr>
      </w:pPr>
      <w:r w:rsidRPr="0035097C">
        <w:rPr>
          <w:b/>
          <w:bCs/>
        </w:rPr>
        <w:t xml:space="preserve">Supplement: The Negative Binomial Model and the 102 </w:t>
      </w:r>
      <w:r w:rsidRPr="0035097C">
        <w:rPr>
          <w:rFonts w:ascii="Cambria Math" w:hAnsi="Cambria Math" w:cs="Cambria Math"/>
          <w:b/>
          <w:bCs/>
        </w:rPr>
        <w:t>⇒</w:t>
      </w:r>
      <w:r w:rsidRPr="0035097C">
        <w:rPr>
          <w:b/>
          <w:bCs/>
        </w:rPr>
        <w:t xml:space="preserve"> 202 Comparison</w:t>
      </w:r>
    </w:p>
    <w:p w14:paraId="3819B1C7" w14:textId="77777777" w:rsidR="00233DCF" w:rsidRPr="0035097C" w:rsidRDefault="00233DCF" w:rsidP="00233DCF">
      <w:r w:rsidRPr="0035097C">
        <w:t xml:space="preserve">This supplement came about from suggestions made by the reviewers of the pre-print, who proposed that a negative binomial model be attempted alongside the quasi-Poisson model originally used. This was done using the SAS program included in the supplements. At first glance the results are very similar. Using a flat significance cutoff of 0.02 to match the presentation of Table 2 in the main study — a flat threshold used here only for direct comparability, with the false-discovery-rate treatment following below — the least solid minor result supporting Markan priority </w:t>
      </w:r>
      <w:r>
        <w:t>(022 =&gt; 222)</w:t>
      </w:r>
      <w:r w:rsidRPr="0035097C">
        <w:t xml:space="preserve"> falls off the list, while two others are added (020 </w:t>
      </w:r>
      <w:r w:rsidRPr="0035097C">
        <w:rPr>
          <w:rFonts w:ascii="Cambria Math" w:hAnsi="Cambria Math" w:cs="Cambria Math"/>
        </w:rPr>
        <w:t>⇒</w:t>
      </w:r>
      <w:r w:rsidRPr="0035097C">
        <w:t xml:space="preserve"> 022 and 120 </w:t>
      </w:r>
      <w:r w:rsidRPr="0035097C">
        <w:rPr>
          <w:rFonts w:ascii="Cambria Math" w:hAnsi="Cambria Math" w:cs="Cambria Math"/>
        </w:rPr>
        <w:t>⇒</w:t>
      </w:r>
      <w:r w:rsidRPr="0035097C">
        <w:t xml:space="preserve"> 022): a net gain of one result supporting Markan priority.</w:t>
      </w:r>
    </w:p>
    <w:p w14:paraId="4CC5E068" w14:textId="77777777" w:rsidR="00233DCF" w:rsidRPr="0035097C" w:rsidRDefault="00233DCF" w:rsidP="00233DCF">
      <w:r w:rsidRPr="0035097C">
        <w:t xml:space="preserve">On closer inspection, two movements merit discussion. First, </w:t>
      </w:r>
      <w:r>
        <w:t>102 =&gt; 202</w:t>
      </w:r>
      <w:r w:rsidRPr="0035097C">
        <w:t xml:space="preserve"> falls from the robust core down to </w:t>
      </w:r>
      <w:r>
        <w:t>failing the significance test</w:t>
      </w:r>
      <w:r w:rsidRPr="0035097C">
        <w:t>; this shift is worth stating plainly, as it</w:t>
      </w:r>
      <w:r>
        <w:t xml:space="preserve"> </w:t>
      </w:r>
      <w:r w:rsidRPr="0035097C">
        <w:t>favors the Farrer hypothesis over the two-source picture at this point.</w:t>
      </w:r>
      <w:r>
        <w:t xml:space="preserve"> Out of all the results in the main study, this was the only problematic one for them, the rest confirmed their views.</w:t>
      </w:r>
      <w:r w:rsidRPr="0035097C">
        <w:t xml:space="preserve"> Second, 211 </w:t>
      </w:r>
      <w:r w:rsidRPr="0035097C">
        <w:rPr>
          <w:rFonts w:ascii="Cambria Math" w:hAnsi="Cambria Math" w:cs="Cambria Math"/>
        </w:rPr>
        <w:t>⇒</w:t>
      </w:r>
      <w:r w:rsidRPr="0035097C">
        <w:t xml:space="preserve"> 212 moves from significant-only-under-FDR into the robust core </w:t>
      </w:r>
      <w:r w:rsidRPr="0035097C">
        <w:rPr>
          <w:rFonts w:ascii="Aptos" w:hAnsi="Aptos" w:cs="Aptos"/>
        </w:rPr>
        <w:t>—</w:t>
      </w:r>
      <w:r w:rsidRPr="0035097C">
        <w:t xml:space="preserve"> again unwelcome for the dominant 2SH and encouraging for the FH. </w:t>
      </w:r>
      <w:proofErr w:type="gramStart"/>
      <w:r w:rsidRPr="0035097C">
        <w:t>That being said, we</w:t>
      </w:r>
      <w:proofErr w:type="gramEnd"/>
      <w:r w:rsidRPr="0035097C">
        <w:t xml:space="preserve"> will argue below that the 3SH remains the simplest model fully consistent with the mathematics.</w:t>
      </w:r>
    </w:p>
    <w:p w14:paraId="5E3EC9B3" w14:textId="5EC7E298" w:rsidR="00233DCF" w:rsidRPr="0035097C" w:rsidRDefault="00233DCF" w:rsidP="00233DCF">
      <w:r w:rsidRPr="0035097C">
        <w:t xml:space="preserve">A new table of results is shown below. The testing family has been modified slightly from the list shown in Appendix B of the main study. 200 </w:t>
      </w:r>
      <w:r w:rsidRPr="0035097C">
        <w:rPr>
          <w:rFonts w:ascii="Cambria Math" w:hAnsi="Cambria Math" w:cs="Cambria Math"/>
        </w:rPr>
        <w:t>⇒</w:t>
      </w:r>
      <w:r w:rsidRPr="0035097C">
        <w:t xml:space="preserve"> 202 has been removed, as </w:t>
      </w:r>
      <w:r>
        <w:t xml:space="preserve">invalidated by an HHB editorial decision, </w:t>
      </w:r>
      <w:r w:rsidRPr="0035097C">
        <w:t xml:space="preserve">discussed in the main study. We add 202 </w:t>
      </w:r>
      <w:r w:rsidRPr="0035097C">
        <w:rPr>
          <w:rFonts w:ascii="Cambria Math" w:hAnsi="Cambria Math" w:cs="Cambria Math"/>
        </w:rPr>
        <w:t>⇒</w:t>
      </w:r>
      <w:r w:rsidRPr="0035097C">
        <w:t xml:space="preserve"> 102 and 202 </w:t>
      </w:r>
      <w:r w:rsidRPr="0035097C">
        <w:rPr>
          <w:rFonts w:ascii="Cambria Math" w:hAnsi="Cambria Math" w:cs="Cambria Math"/>
        </w:rPr>
        <w:t>⇒</w:t>
      </w:r>
      <w:r w:rsidRPr="0035097C">
        <w:t xml:space="preserve"> 201, because these are the comparisons the 2SH would itself predict </w:t>
      </w:r>
      <w:r w:rsidRPr="0035097C">
        <w:rPr>
          <w:rFonts w:ascii="Aptos" w:hAnsi="Aptos" w:cs="Aptos"/>
        </w:rPr>
        <w:t>—</w:t>
      </w:r>
      <w:r w:rsidRPr="0035097C">
        <w:t xml:space="preserve"> 202 represents the vocabulary profile of the sayings source, which the 2SH expects to surface in both Matthew and Luke</w:t>
      </w:r>
      <w:r>
        <w:t>.</w:t>
      </w:r>
      <w:r w:rsidRPr="0035097C">
        <w:t xml:space="preserve"> </w:t>
      </w:r>
      <w:r>
        <w:t xml:space="preserve">These are added </w:t>
      </w:r>
      <w:r w:rsidRPr="0035097C">
        <w:t xml:space="preserve">so the family is not constructed to favor </w:t>
      </w:r>
      <w:r>
        <w:t>one model’s frame over another</w:t>
      </w:r>
      <w:r w:rsidRPr="0035097C">
        <w:t xml:space="preserve">. </w:t>
      </w:r>
      <w:r>
        <w:t>122 =&gt; 002 was also added, i</w:t>
      </w:r>
      <w:r w:rsidR="008D258D">
        <w:t>t</w:t>
      </w:r>
      <w:r>
        <w:t xml:space="preserve"> was an unexpected and highly significant result in the main study, and we flagged it there as </w:t>
      </w:r>
      <w:proofErr w:type="gramStart"/>
      <w:r>
        <w:t>exploratory</w:t>
      </w:r>
      <w:proofErr w:type="gramEnd"/>
      <w:r>
        <w:t>. We add it to the family to see if it fa</w:t>
      </w:r>
      <w:r w:rsidR="008D258D">
        <w:t>res</w:t>
      </w:r>
      <w:r>
        <w:t xml:space="preserve"> as well under the new test.</w:t>
      </w:r>
      <w:r w:rsidRPr="0035097C">
        <w:t xml:space="preserve"> The resulting family comprises </w:t>
      </w:r>
      <w:r>
        <w:t>68</w:t>
      </w:r>
      <w:r w:rsidRPr="0035097C">
        <w:t xml:space="preserve"> comparisons.</w:t>
      </w:r>
    </w:p>
    <w:p w14:paraId="3CB823E5" w14:textId="104B5800" w:rsidR="00233DCF" w:rsidRDefault="008D258D" w:rsidP="0035097C">
      <w:r w:rsidRPr="008D258D">
        <w:t>For each test–predictor pair the table shows the beta weights under both models, the p-values under both models (quasi-Poisson at φ = 2.17, and negative binomial), a flag for whether the pair belonged to the original 66-comparison family of Appendix B, and its significance tier under each model. Every pair shown is part of the expanded 68-comparison family tested here</w:t>
      </w:r>
      <w:r>
        <w:t>.</w:t>
      </w:r>
    </w:p>
    <w:p w14:paraId="63600526" w14:textId="77777777" w:rsidR="008D258D" w:rsidRDefault="008D258D" w:rsidP="0035097C"/>
    <w:p w14:paraId="571771EC" w14:textId="77777777" w:rsidR="008D258D" w:rsidRPr="0035097C" w:rsidRDefault="008D258D" w:rsidP="0035097C"/>
    <w:tbl>
      <w:tblPr>
        <w:tblW w:w="9740" w:type="dxa"/>
        <w:tblLook w:val="04A0" w:firstRow="1" w:lastRow="0" w:firstColumn="1" w:lastColumn="0" w:noHBand="0" w:noVBand="1"/>
      </w:tblPr>
      <w:tblGrid>
        <w:gridCol w:w="1020"/>
        <w:gridCol w:w="921"/>
        <w:gridCol w:w="1090"/>
        <w:gridCol w:w="1160"/>
        <w:gridCol w:w="943"/>
        <w:gridCol w:w="980"/>
        <w:gridCol w:w="720"/>
        <w:gridCol w:w="1620"/>
        <w:gridCol w:w="1600"/>
      </w:tblGrid>
      <w:tr w:rsidR="00233DCF" w:rsidRPr="00233DCF" w14:paraId="65028C6A" w14:textId="77777777" w:rsidTr="00233DCF">
        <w:trPr>
          <w:trHeight w:val="300"/>
        </w:trPr>
        <w:tc>
          <w:tcPr>
            <w:tcW w:w="960" w:type="dxa"/>
            <w:tcBorders>
              <w:top w:val="nil"/>
              <w:left w:val="nil"/>
              <w:bottom w:val="nil"/>
              <w:right w:val="nil"/>
            </w:tcBorders>
            <w:noWrap/>
            <w:vAlign w:val="bottom"/>
            <w:hideMark/>
          </w:tcPr>
          <w:p w14:paraId="69FA9124"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lastRenderedPageBreak/>
              <w:t>Predictor</w:t>
            </w:r>
          </w:p>
        </w:tc>
        <w:tc>
          <w:tcPr>
            <w:tcW w:w="820" w:type="dxa"/>
            <w:tcBorders>
              <w:top w:val="nil"/>
              <w:left w:val="nil"/>
              <w:bottom w:val="nil"/>
              <w:right w:val="nil"/>
            </w:tcBorders>
            <w:noWrap/>
            <w:vAlign w:val="bottom"/>
            <w:hideMark/>
          </w:tcPr>
          <w:p w14:paraId="4C9F07A4"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proofErr w:type="spellStart"/>
            <w:r w:rsidRPr="00233DCF">
              <w:rPr>
                <w:rFonts w:ascii="Aptos Narrow" w:eastAsia="Times New Roman" w:hAnsi="Aptos Narrow" w:cs="Times New Roman"/>
                <w:color w:val="000000"/>
                <w:kern w:val="0"/>
                <w:sz w:val="22"/>
                <w:szCs w:val="22"/>
                <w14:ligatures w14:val="none"/>
              </w:rPr>
              <w:t>test_cat</w:t>
            </w:r>
            <w:proofErr w:type="spellEnd"/>
          </w:p>
        </w:tc>
        <w:tc>
          <w:tcPr>
            <w:tcW w:w="1020" w:type="dxa"/>
            <w:tcBorders>
              <w:top w:val="nil"/>
              <w:left w:val="nil"/>
              <w:bottom w:val="nil"/>
              <w:right w:val="nil"/>
            </w:tcBorders>
            <w:noWrap/>
            <w:vAlign w:val="bottom"/>
            <w:hideMark/>
          </w:tcPr>
          <w:p w14:paraId="0BF4F832"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proofErr w:type="spellStart"/>
            <w:r w:rsidRPr="00233DCF">
              <w:rPr>
                <w:rFonts w:ascii="Aptos Narrow" w:eastAsia="Times New Roman" w:hAnsi="Aptos Narrow" w:cs="Times New Roman"/>
                <w:color w:val="000000"/>
                <w:kern w:val="0"/>
                <w:sz w:val="22"/>
                <w:szCs w:val="22"/>
                <w14:ligatures w14:val="none"/>
              </w:rPr>
              <w:t>WeightNB</w:t>
            </w:r>
            <w:proofErr w:type="spellEnd"/>
          </w:p>
        </w:tc>
        <w:tc>
          <w:tcPr>
            <w:tcW w:w="1160" w:type="dxa"/>
            <w:tcBorders>
              <w:top w:val="nil"/>
              <w:left w:val="nil"/>
              <w:bottom w:val="nil"/>
              <w:right w:val="nil"/>
            </w:tcBorders>
            <w:noWrap/>
            <w:vAlign w:val="bottom"/>
            <w:hideMark/>
          </w:tcPr>
          <w:p w14:paraId="4FE252EE"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Weight QP</w:t>
            </w:r>
          </w:p>
        </w:tc>
        <w:tc>
          <w:tcPr>
            <w:tcW w:w="860" w:type="dxa"/>
            <w:tcBorders>
              <w:top w:val="nil"/>
              <w:left w:val="nil"/>
              <w:bottom w:val="nil"/>
              <w:right w:val="nil"/>
            </w:tcBorders>
            <w:noWrap/>
            <w:vAlign w:val="bottom"/>
            <w:hideMark/>
          </w:tcPr>
          <w:p w14:paraId="38945A37"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proofErr w:type="spellStart"/>
            <w:r w:rsidRPr="00233DCF">
              <w:rPr>
                <w:rFonts w:ascii="Aptos Narrow" w:eastAsia="Times New Roman" w:hAnsi="Aptos Narrow" w:cs="Times New Roman"/>
                <w:color w:val="000000"/>
                <w:kern w:val="0"/>
                <w:sz w:val="22"/>
                <w:szCs w:val="22"/>
                <w14:ligatures w14:val="none"/>
              </w:rPr>
              <w:t>p_NB</w:t>
            </w:r>
            <w:proofErr w:type="spellEnd"/>
          </w:p>
        </w:tc>
        <w:tc>
          <w:tcPr>
            <w:tcW w:w="980" w:type="dxa"/>
            <w:tcBorders>
              <w:top w:val="nil"/>
              <w:left w:val="nil"/>
              <w:bottom w:val="nil"/>
              <w:right w:val="nil"/>
            </w:tcBorders>
            <w:noWrap/>
            <w:vAlign w:val="bottom"/>
            <w:hideMark/>
          </w:tcPr>
          <w:p w14:paraId="2E55BD15"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proofErr w:type="spellStart"/>
            <w:r w:rsidRPr="00233DCF">
              <w:rPr>
                <w:rFonts w:ascii="Aptos Narrow" w:eastAsia="Times New Roman" w:hAnsi="Aptos Narrow" w:cs="Times New Roman"/>
                <w:color w:val="000000"/>
                <w:kern w:val="0"/>
                <w:sz w:val="22"/>
                <w:szCs w:val="22"/>
                <w14:ligatures w14:val="none"/>
              </w:rPr>
              <w:t>p_QP</w:t>
            </w:r>
            <w:proofErr w:type="spellEnd"/>
          </w:p>
        </w:tc>
        <w:tc>
          <w:tcPr>
            <w:tcW w:w="720" w:type="dxa"/>
            <w:tcBorders>
              <w:top w:val="nil"/>
              <w:left w:val="nil"/>
              <w:bottom w:val="nil"/>
              <w:right w:val="nil"/>
            </w:tcBorders>
            <w:noWrap/>
            <w:vAlign w:val="bottom"/>
            <w:hideMark/>
          </w:tcPr>
          <w:p w14:paraId="2A43A4F3"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Fam?</w:t>
            </w:r>
          </w:p>
        </w:tc>
        <w:tc>
          <w:tcPr>
            <w:tcW w:w="1620" w:type="dxa"/>
            <w:tcBorders>
              <w:top w:val="nil"/>
              <w:left w:val="nil"/>
              <w:bottom w:val="nil"/>
              <w:right w:val="nil"/>
            </w:tcBorders>
            <w:noWrap/>
            <w:vAlign w:val="bottom"/>
            <w:hideMark/>
          </w:tcPr>
          <w:p w14:paraId="001BBB59"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NB Significance</w:t>
            </w:r>
          </w:p>
        </w:tc>
        <w:tc>
          <w:tcPr>
            <w:tcW w:w="1600" w:type="dxa"/>
            <w:tcBorders>
              <w:top w:val="nil"/>
              <w:left w:val="nil"/>
              <w:bottom w:val="nil"/>
              <w:right w:val="nil"/>
            </w:tcBorders>
            <w:noWrap/>
            <w:vAlign w:val="bottom"/>
            <w:hideMark/>
          </w:tcPr>
          <w:p w14:paraId="42EEFA3B"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QP Significance</w:t>
            </w:r>
          </w:p>
        </w:tc>
      </w:tr>
      <w:tr w:rsidR="00233DCF" w:rsidRPr="00233DCF" w14:paraId="3C285A93" w14:textId="77777777" w:rsidTr="00233DCF">
        <w:trPr>
          <w:trHeight w:val="300"/>
        </w:trPr>
        <w:tc>
          <w:tcPr>
            <w:tcW w:w="960" w:type="dxa"/>
            <w:tcBorders>
              <w:top w:val="nil"/>
              <w:left w:val="nil"/>
              <w:bottom w:val="nil"/>
              <w:right w:val="nil"/>
            </w:tcBorders>
            <w:noWrap/>
            <w:vAlign w:val="bottom"/>
            <w:hideMark/>
          </w:tcPr>
          <w:p w14:paraId="2DD1A4B6"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121 =&gt;</w:t>
            </w:r>
          </w:p>
        </w:tc>
        <w:tc>
          <w:tcPr>
            <w:tcW w:w="820" w:type="dxa"/>
            <w:tcBorders>
              <w:top w:val="nil"/>
              <w:left w:val="nil"/>
              <w:bottom w:val="nil"/>
              <w:right w:val="nil"/>
            </w:tcBorders>
            <w:noWrap/>
            <w:vAlign w:val="bottom"/>
            <w:hideMark/>
          </w:tcPr>
          <w:p w14:paraId="5EA8AAAA"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221</w:t>
            </w:r>
          </w:p>
        </w:tc>
        <w:tc>
          <w:tcPr>
            <w:tcW w:w="1020" w:type="dxa"/>
            <w:tcBorders>
              <w:top w:val="nil"/>
              <w:left w:val="nil"/>
              <w:bottom w:val="nil"/>
              <w:right w:val="nil"/>
            </w:tcBorders>
            <w:noWrap/>
            <w:vAlign w:val="bottom"/>
            <w:hideMark/>
          </w:tcPr>
          <w:p w14:paraId="07A81FB7"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0.245</w:t>
            </w:r>
          </w:p>
        </w:tc>
        <w:tc>
          <w:tcPr>
            <w:tcW w:w="1160" w:type="dxa"/>
            <w:tcBorders>
              <w:top w:val="nil"/>
              <w:left w:val="nil"/>
              <w:bottom w:val="nil"/>
              <w:right w:val="nil"/>
            </w:tcBorders>
            <w:noWrap/>
            <w:vAlign w:val="bottom"/>
            <w:hideMark/>
          </w:tcPr>
          <w:p w14:paraId="57D56ECB"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0.279</w:t>
            </w:r>
          </w:p>
        </w:tc>
        <w:tc>
          <w:tcPr>
            <w:tcW w:w="860" w:type="dxa"/>
            <w:tcBorders>
              <w:top w:val="nil"/>
              <w:left w:val="nil"/>
              <w:bottom w:val="nil"/>
              <w:right w:val="nil"/>
            </w:tcBorders>
            <w:noWrap/>
            <w:vAlign w:val="bottom"/>
            <w:hideMark/>
          </w:tcPr>
          <w:p w14:paraId="32084E3E"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0.00000</w:t>
            </w:r>
          </w:p>
        </w:tc>
        <w:tc>
          <w:tcPr>
            <w:tcW w:w="980" w:type="dxa"/>
            <w:tcBorders>
              <w:top w:val="nil"/>
              <w:left w:val="nil"/>
              <w:bottom w:val="nil"/>
              <w:right w:val="nil"/>
            </w:tcBorders>
            <w:noWrap/>
            <w:vAlign w:val="bottom"/>
            <w:hideMark/>
          </w:tcPr>
          <w:p w14:paraId="03AE7AF7"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0.00000</w:t>
            </w:r>
          </w:p>
        </w:tc>
        <w:tc>
          <w:tcPr>
            <w:tcW w:w="720" w:type="dxa"/>
            <w:tcBorders>
              <w:top w:val="nil"/>
              <w:left w:val="nil"/>
              <w:bottom w:val="nil"/>
              <w:right w:val="nil"/>
            </w:tcBorders>
            <w:noWrap/>
            <w:vAlign w:val="bottom"/>
            <w:hideMark/>
          </w:tcPr>
          <w:p w14:paraId="57B0126C"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Yes</w:t>
            </w:r>
          </w:p>
        </w:tc>
        <w:tc>
          <w:tcPr>
            <w:tcW w:w="1620" w:type="dxa"/>
            <w:tcBorders>
              <w:top w:val="nil"/>
              <w:left w:val="nil"/>
              <w:bottom w:val="nil"/>
              <w:right w:val="nil"/>
            </w:tcBorders>
            <w:noWrap/>
            <w:vAlign w:val="bottom"/>
            <w:hideMark/>
          </w:tcPr>
          <w:p w14:paraId="18BF9805"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Robust Core</w:t>
            </w:r>
          </w:p>
        </w:tc>
        <w:tc>
          <w:tcPr>
            <w:tcW w:w="1600" w:type="dxa"/>
            <w:tcBorders>
              <w:top w:val="nil"/>
              <w:left w:val="nil"/>
              <w:bottom w:val="nil"/>
              <w:right w:val="nil"/>
            </w:tcBorders>
            <w:noWrap/>
            <w:vAlign w:val="bottom"/>
            <w:hideMark/>
          </w:tcPr>
          <w:p w14:paraId="0937C90B"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Robust Core</w:t>
            </w:r>
          </w:p>
        </w:tc>
      </w:tr>
      <w:tr w:rsidR="00233DCF" w:rsidRPr="00233DCF" w14:paraId="46587E12" w14:textId="77777777" w:rsidTr="00233DCF">
        <w:trPr>
          <w:trHeight w:val="300"/>
        </w:trPr>
        <w:tc>
          <w:tcPr>
            <w:tcW w:w="960" w:type="dxa"/>
            <w:tcBorders>
              <w:top w:val="nil"/>
              <w:left w:val="nil"/>
              <w:bottom w:val="nil"/>
              <w:right w:val="nil"/>
            </w:tcBorders>
            <w:noWrap/>
            <w:vAlign w:val="bottom"/>
            <w:hideMark/>
          </w:tcPr>
          <w:p w14:paraId="7327A05A"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122 =&gt;</w:t>
            </w:r>
          </w:p>
        </w:tc>
        <w:tc>
          <w:tcPr>
            <w:tcW w:w="820" w:type="dxa"/>
            <w:tcBorders>
              <w:top w:val="nil"/>
              <w:left w:val="nil"/>
              <w:bottom w:val="nil"/>
              <w:right w:val="nil"/>
            </w:tcBorders>
            <w:noWrap/>
            <w:vAlign w:val="bottom"/>
            <w:hideMark/>
          </w:tcPr>
          <w:p w14:paraId="523F8C90"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002</w:t>
            </w:r>
          </w:p>
        </w:tc>
        <w:tc>
          <w:tcPr>
            <w:tcW w:w="1020" w:type="dxa"/>
            <w:tcBorders>
              <w:top w:val="nil"/>
              <w:left w:val="nil"/>
              <w:bottom w:val="nil"/>
              <w:right w:val="nil"/>
            </w:tcBorders>
            <w:noWrap/>
            <w:vAlign w:val="bottom"/>
            <w:hideMark/>
          </w:tcPr>
          <w:p w14:paraId="6B00517E"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0.067</w:t>
            </w:r>
          </w:p>
        </w:tc>
        <w:tc>
          <w:tcPr>
            <w:tcW w:w="1160" w:type="dxa"/>
            <w:tcBorders>
              <w:top w:val="nil"/>
              <w:left w:val="nil"/>
              <w:bottom w:val="nil"/>
              <w:right w:val="nil"/>
            </w:tcBorders>
            <w:noWrap/>
            <w:vAlign w:val="bottom"/>
            <w:hideMark/>
          </w:tcPr>
          <w:p w14:paraId="06433F2B"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0.065</w:t>
            </w:r>
          </w:p>
        </w:tc>
        <w:tc>
          <w:tcPr>
            <w:tcW w:w="860" w:type="dxa"/>
            <w:tcBorders>
              <w:top w:val="nil"/>
              <w:left w:val="nil"/>
              <w:bottom w:val="nil"/>
              <w:right w:val="nil"/>
            </w:tcBorders>
            <w:noWrap/>
            <w:vAlign w:val="bottom"/>
            <w:hideMark/>
          </w:tcPr>
          <w:p w14:paraId="5CDB19C7"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0.00000</w:t>
            </w:r>
          </w:p>
        </w:tc>
        <w:tc>
          <w:tcPr>
            <w:tcW w:w="980" w:type="dxa"/>
            <w:tcBorders>
              <w:top w:val="nil"/>
              <w:left w:val="nil"/>
              <w:bottom w:val="nil"/>
              <w:right w:val="nil"/>
            </w:tcBorders>
            <w:noWrap/>
            <w:vAlign w:val="bottom"/>
            <w:hideMark/>
          </w:tcPr>
          <w:p w14:paraId="5C78DA3B"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0.00000</w:t>
            </w:r>
          </w:p>
        </w:tc>
        <w:tc>
          <w:tcPr>
            <w:tcW w:w="720" w:type="dxa"/>
            <w:tcBorders>
              <w:top w:val="nil"/>
              <w:left w:val="nil"/>
              <w:bottom w:val="nil"/>
              <w:right w:val="nil"/>
            </w:tcBorders>
            <w:noWrap/>
            <w:vAlign w:val="bottom"/>
            <w:hideMark/>
          </w:tcPr>
          <w:p w14:paraId="2358FBB4"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No</w:t>
            </w:r>
          </w:p>
        </w:tc>
        <w:tc>
          <w:tcPr>
            <w:tcW w:w="1620" w:type="dxa"/>
            <w:tcBorders>
              <w:top w:val="nil"/>
              <w:left w:val="nil"/>
              <w:bottom w:val="nil"/>
              <w:right w:val="nil"/>
            </w:tcBorders>
            <w:noWrap/>
            <w:vAlign w:val="bottom"/>
            <w:hideMark/>
          </w:tcPr>
          <w:p w14:paraId="27BCDBF1"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Robust Core</w:t>
            </w:r>
          </w:p>
        </w:tc>
        <w:tc>
          <w:tcPr>
            <w:tcW w:w="1600" w:type="dxa"/>
            <w:tcBorders>
              <w:top w:val="nil"/>
              <w:left w:val="nil"/>
              <w:bottom w:val="nil"/>
              <w:right w:val="nil"/>
            </w:tcBorders>
            <w:noWrap/>
            <w:vAlign w:val="bottom"/>
            <w:hideMark/>
          </w:tcPr>
          <w:p w14:paraId="134E8532"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Robust Core</w:t>
            </w:r>
          </w:p>
        </w:tc>
      </w:tr>
      <w:tr w:rsidR="00233DCF" w:rsidRPr="00233DCF" w14:paraId="41E2DC8A" w14:textId="77777777" w:rsidTr="00233DCF">
        <w:trPr>
          <w:trHeight w:val="300"/>
        </w:trPr>
        <w:tc>
          <w:tcPr>
            <w:tcW w:w="960" w:type="dxa"/>
            <w:tcBorders>
              <w:top w:val="nil"/>
              <w:left w:val="nil"/>
              <w:bottom w:val="nil"/>
              <w:right w:val="nil"/>
            </w:tcBorders>
            <w:noWrap/>
            <w:vAlign w:val="bottom"/>
            <w:hideMark/>
          </w:tcPr>
          <w:p w14:paraId="4BE94723"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220 =&gt;</w:t>
            </w:r>
          </w:p>
        </w:tc>
        <w:tc>
          <w:tcPr>
            <w:tcW w:w="820" w:type="dxa"/>
            <w:tcBorders>
              <w:top w:val="nil"/>
              <w:left w:val="nil"/>
              <w:bottom w:val="nil"/>
              <w:right w:val="nil"/>
            </w:tcBorders>
            <w:noWrap/>
            <w:vAlign w:val="bottom"/>
            <w:hideMark/>
          </w:tcPr>
          <w:p w14:paraId="4F5AF84F"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222</w:t>
            </w:r>
          </w:p>
        </w:tc>
        <w:tc>
          <w:tcPr>
            <w:tcW w:w="1020" w:type="dxa"/>
            <w:tcBorders>
              <w:top w:val="nil"/>
              <w:left w:val="nil"/>
              <w:bottom w:val="nil"/>
              <w:right w:val="nil"/>
            </w:tcBorders>
            <w:noWrap/>
            <w:vAlign w:val="bottom"/>
            <w:hideMark/>
          </w:tcPr>
          <w:p w14:paraId="6FF4CC6F"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0.129</w:t>
            </w:r>
          </w:p>
        </w:tc>
        <w:tc>
          <w:tcPr>
            <w:tcW w:w="1160" w:type="dxa"/>
            <w:tcBorders>
              <w:top w:val="nil"/>
              <w:left w:val="nil"/>
              <w:bottom w:val="nil"/>
              <w:right w:val="nil"/>
            </w:tcBorders>
            <w:noWrap/>
            <w:vAlign w:val="bottom"/>
            <w:hideMark/>
          </w:tcPr>
          <w:p w14:paraId="1D53A115"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0.176</w:t>
            </w:r>
          </w:p>
        </w:tc>
        <w:tc>
          <w:tcPr>
            <w:tcW w:w="860" w:type="dxa"/>
            <w:tcBorders>
              <w:top w:val="nil"/>
              <w:left w:val="nil"/>
              <w:bottom w:val="nil"/>
              <w:right w:val="nil"/>
            </w:tcBorders>
            <w:noWrap/>
            <w:vAlign w:val="bottom"/>
            <w:hideMark/>
          </w:tcPr>
          <w:p w14:paraId="2C5765B1"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0.00001</w:t>
            </w:r>
          </w:p>
        </w:tc>
        <w:tc>
          <w:tcPr>
            <w:tcW w:w="980" w:type="dxa"/>
            <w:tcBorders>
              <w:top w:val="nil"/>
              <w:left w:val="nil"/>
              <w:bottom w:val="nil"/>
              <w:right w:val="nil"/>
            </w:tcBorders>
            <w:noWrap/>
            <w:vAlign w:val="bottom"/>
            <w:hideMark/>
          </w:tcPr>
          <w:p w14:paraId="2FE50095"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0.00000</w:t>
            </w:r>
          </w:p>
        </w:tc>
        <w:tc>
          <w:tcPr>
            <w:tcW w:w="720" w:type="dxa"/>
            <w:tcBorders>
              <w:top w:val="nil"/>
              <w:left w:val="nil"/>
              <w:bottom w:val="nil"/>
              <w:right w:val="nil"/>
            </w:tcBorders>
            <w:noWrap/>
            <w:vAlign w:val="bottom"/>
            <w:hideMark/>
          </w:tcPr>
          <w:p w14:paraId="7F542054"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Yes</w:t>
            </w:r>
          </w:p>
        </w:tc>
        <w:tc>
          <w:tcPr>
            <w:tcW w:w="1620" w:type="dxa"/>
            <w:tcBorders>
              <w:top w:val="nil"/>
              <w:left w:val="nil"/>
              <w:bottom w:val="nil"/>
              <w:right w:val="nil"/>
            </w:tcBorders>
            <w:noWrap/>
            <w:vAlign w:val="bottom"/>
            <w:hideMark/>
          </w:tcPr>
          <w:p w14:paraId="59692C4D"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Robust Core</w:t>
            </w:r>
          </w:p>
        </w:tc>
        <w:tc>
          <w:tcPr>
            <w:tcW w:w="1600" w:type="dxa"/>
            <w:tcBorders>
              <w:top w:val="nil"/>
              <w:left w:val="nil"/>
              <w:bottom w:val="nil"/>
              <w:right w:val="nil"/>
            </w:tcBorders>
            <w:noWrap/>
            <w:vAlign w:val="bottom"/>
            <w:hideMark/>
          </w:tcPr>
          <w:p w14:paraId="32D5747E"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Robust Core</w:t>
            </w:r>
          </w:p>
        </w:tc>
      </w:tr>
      <w:tr w:rsidR="00233DCF" w:rsidRPr="00233DCF" w14:paraId="312F3B51" w14:textId="77777777" w:rsidTr="00233DCF">
        <w:trPr>
          <w:trHeight w:val="300"/>
        </w:trPr>
        <w:tc>
          <w:tcPr>
            <w:tcW w:w="960" w:type="dxa"/>
            <w:tcBorders>
              <w:top w:val="nil"/>
              <w:left w:val="nil"/>
              <w:bottom w:val="nil"/>
              <w:right w:val="nil"/>
            </w:tcBorders>
            <w:shd w:val="clear" w:color="000000" w:fill="FFFF00"/>
            <w:noWrap/>
            <w:vAlign w:val="bottom"/>
            <w:hideMark/>
          </w:tcPr>
          <w:p w14:paraId="37338103"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211 =&gt;</w:t>
            </w:r>
          </w:p>
        </w:tc>
        <w:tc>
          <w:tcPr>
            <w:tcW w:w="820" w:type="dxa"/>
            <w:tcBorders>
              <w:top w:val="nil"/>
              <w:left w:val="nil"/>
              <w:bottom w:val="nil"/>
              <w:right w:val="nil"/>
            </w:tcBorders>
            <w:shd w:val="clear" w:color="000000" w:fill="FFFF00"/>
            <w:noWrap/>
            <w:vAlign w:val="bottom"/>
            <w:hideMark/>
          </w:tcPr>
          <w:p w14:paraId="4DE912A0"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212</w:t>
            </w:r>
          </w:p>
        </w:tc>
        <w:tc>
          <w:tcPr>
            <w:tcW w:w="1020" w:type="dxa"/>
            <w:tcBorders>
              <w:top w:val="nil"/>
              <w:left w:val="nil"/>
              <w:bottom w:val="nil"/>
              <w:right w:val="nil"/>
            </w:tcBorders>
            <w:shd w:val="clear" w:color="000000" w:fill="FFFF00"/>
            <w:noWrap/>
            <w:vAlign w:val="bottom"/>
            <w:hideMark/>
          </w:tcPr>
          <w:p w14:paraId="017C695B"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0.440</w:t>
            </w:r>
          </w:p>
        </w:tc>
        <w:tc>
          <w:tcPr>
            <w:tcW w:w="1160" w:type="dxa"/>
            <w:tcBorders>
              <w:top w:val="nil"/>
              <w:left w:val="nil"/>
              <w:bottom w:val="nil"/>
              <w:right w:val="nil"/>
            </w:tcBorders>
            <w:shd w:val="clear" w:color="000000" w:fill="FFFF00"/>
            <w:noWrap/>
            <w:vAlign w:val="bottom"/>
            <w:hideMark/>
          </w:tcPr>
          <w:p w14:paraId="1CE28ABF"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0.425</w:t>
            </w:r>
          </w:p>
        </w:tc>
        <w:tc>
          <w:tcPr>
            <w:tcW w:w="860" w:type="dxa"/>
            <w:tcBorders>
              <w:top w:val="nil"/>
              <w:left w:val="nil"/>
              <w:bottom w:val="nil"/>
              <w:right w:val="nil"/>
            </w:tcBorders>
            <w:shd w:val="clear" w:color="000000" w:fill="FFFF00"/>
            <w:noWrap/>
            <w:vAlign w:val="bottom"/>
            <w:hideMark/>
          </w:tcPr>
          <w:p w14:paraId="39F18E31"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0.00001</w:t>
            </w:r>
          </w:p>
        </w:tc>
        <w:tc>
          <w:tcPr>
            <w:tcW w:w="980" w:type="dxa"/>
            <w:tcBorders>
              <w:top w:val="nil"/>
              <w:left w:val="nil"/>
              <w:bottom w:val="nil"/>
              <w:right w:val="nil"/>
            </w:tcBorders>
            <w:shd w:val="clear" w:color="000000" w:fill="FFFF00"/>
            <w:noWrap/>
            <w:vAlign w:val="bottom"/>
            <w:hideMark/>
          </w:tcPr>
          <w:p w14:paraId="02E8B3C0"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0.00084</w:t>
            </w:r>
          </w:p>
        </w:tc>
        <w:tc>
          <w:tcPr>
            <w:tcW w:w="720" w:type="dxa"/>
            <w:tcBorders>
              <w:top w:val="nil"/>
              <w:left w:val="nil"/>
              <w:bottom w:val="nil"/>
              <w:right w:val="nil"/>
            </w:tcBorders>
            <w:shd w:val="clear" w:color="000000" w:fill="FFFF00"/>
            <w:noWrap/>
            <w:vAlign w:val="bottom"/>
            <w:hideMark/>
          </w:tcPr>
          <w:p w14:paraId="3444828D"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Yes</w:t>
            </w:r>
          </w:p>
        </w:tc>
        <w:tc>
          <w:tcPr>
            <w:tcW w:w="1620" w:type="dxa"/>
            <w:tcBorders>
              <w:top w:val="nil"/>
              <w:left w:val="nil"/>
              <w:bottom w:val="nil"/>
              <w:right w:val="nil"/>
            </w:tcBorders>
            <w:shd w:val="clear" w:color="000000" w:fill="FFFF00"/>
            <w:noWrap/>
            <w:vAlign w:val="bottom"/>
            <w:hideMark/>
          </w:tcPr>
          <w:p w14:paraId="43511EBC"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Robust Core</w:t>
            </w:r>
          </w:p>
        </w:tc>
        <w:tc>
          <w:tcPr>
            <w:tcW w:w="1600" w:type="dxa"/>
            <w:tcBorders>
              <w:top w:val="nil"/>
              <w:left w:val="nil"/>
              <w:bottom w:val="nil"/>
              <w:right w:val="nil"/>
            </w:tcBorders>
            <w:shd w:val="clear" w:color="000000" w:fill="FFFF00"/>
            <w:noWrap/>
            <w:vAlign w:val="bottom"/>
            <w:hideMark/>
          </w:tcPr>
          <w:p w14:paraId="1A14F607"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Sig. under FDR</w:t>
            </w:r>
          </w:p>
        </w:tc>
      </w:tr>
      <w:tr w:rsidR="00233DCF" w:rsidRPr="00233DCF" w14:paraId="07DA4B4B" w14:textId="77777777" w:rsidTr="00233DCF">
        <w:trPr>
          <w:trHeight w:val="300"/>
        </w:trPr>
        <w:tc>
          <w:tcPr>
            <w:tcW w:w="960" w:type="dxa"/>
            <w:tcBorders>
              <w:top w:val="nil"/>
              <w:left w:val="nil"/>
              <w:bottom w:val="nil"/>
              <w:right w:val="nil"/>
            </w:tcBorders>
            <w:noWrap/>
            <w:vAlign w:val="bottom"/>
            <w:hideMark/>
          </w:tcPr>
          <w:p w14:paraId="7C0364EB"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210 =&gt;</w:t>
            </w:r>
          </w:p>
        </w:tc>
        <w:tc>
          <w:tcPr>
            <w:tcW w:w="820" w:type="dxa"/>
            <w:tcBorders>
              <w:top w:val="nil"/>
              <w:left w:val="nil"/>
              <w:bottom w:val="nil"/>
              <w:right w:val="nil"/>
            </w:tcBorders>
            <w:noWrap/>
            <w:vAlign w:val="bottom"/>
            <w:hideMark/>
          </w:tcPr>
          <w:p w14:paraId="29438B0D"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212</w:t>
            </w:r>
          </w:p>
        </w:tc>
        <w:tc>
          <w:tcPr>
            <w:tcW w:w="1020" w:type="dxa"/>
            <w:tcBorders>
              <w:top w:val="nil"/>
              <w:left w:val="nil"/>
              <w:bottom w:val="nil"/>
              <w:right w:val="nil"/>
            </w:tcBorders>
            <w:noWrap/>
            <w:vAlign w:val="bottom"/>
            <w:hideMark/>
          </w:tcPr>
          <w:p w14:paraId="1F3A38FB"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0.360</w:t>
            </w:r>
          </w:p>
        </w:tc>
        <w:tc>
          <w:tcPr>
            <w:tcW w:w="1160" w:type="dxa"/>
            <w:tcBorders>
              <w:top w:val="nil"/>
              <w:left w:val="nil"/>
              <w:bottom w:val="nil"/>
              <w:right w:val="nil"/>
            </w:tcBorders>
            <w:noWrap/>
            <w:vAlign w:val="bottom"/>
            <w:hideMark/>
          </w:tcPr>
          <w:p w14:paraId="17A8C50F"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0.426</w:t>
            </w:r>
          </w:p>
        </w:tc>
        <w:tc>
          <w:tcPr>
            <w:tcW w:w="860" w:type="dxa"/>
            <w:tcBorders>
              <w:top w:val="nil"/>
              <w:left w:val="nil"/>
              <w:bottom w:val="nil"/>
              <w:right w:val="nil"/>
            </w:tcBorders>
            <w:noWrap/>
            <w:vAlign w:val="bottom"/>
            <w:hideMark/>
          </w:tcPr>
          <w:p w14:paraId="409C9C0D"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0.00002</w:t>
            </w:r>
          </w:p>
        </w:tc>
        <w:tc>
          <w:tcPr>
            <w:tcW w:w="980" w:type="dxa"/>
            <w:tcBorders>
              <w:top w:val="nil"/>
              <w:left w:val="nil"/>
              <w:bottom w:val="nil"/>
              <w:right w:val="nil"/>
            </w:tcBorders>
            <w:noWrap/>
            <w:vAlign w:val="bottom"/>
            <w:hideMark/>
          </w:tcPr>
          <w:p w14:paraId="531B8320"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0.00008</w:t>
            </w:r>
          </w:p>
        </w:tc>
        <w:tc>
          <w:tcPr>
            <w:tcW w:w="720" w:type="dxa"/>
            <w:tcBorders>
              <w:top w:val="nil"/>
              <w:left w:val="nil"/>
              <w:bottom w:val="nil"/>
              <w:right w:val="nil"/>
            </w:tcBorders>
            <w:noWrap/>
            <w:vAlign w:val="bottom"/>
            <w:hideMark/>
          </w:tcPr>
          <w:p w14:paraId="61824BBF"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Yes</w:t>
            </w:r>
          </w:p>
        </w:tc>
        <w:tc>
          <w:tcPr>
            <w:tcW w:w="1620" w:type="dxa"/>
            <w:tcBorders>
              <w:top w:val="nil"/>
              <w:left w:val="nil"/>
              <w:bottom w:val="nil"/>
              <w:right w:val="nil"/>
            </w:tcBorders>
            <w:noWrap/>
            <w:vAlign w:val="bottom"/>
            <w:hideMark/>
          </w:tcPr>
          <w:p w14:paraId="5EA0D885"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Robust Core</w:t>
            </w:r>
          </w:p>
        </w:tc>
        <w:tc>
          <w:tcPr>
            <w:tcW w:w="1600" w:type="dxa"/>
            <w:tcBorders>
              <w:top w:val="nil"/>
              <w:left w:val="nil"/>
              <w:bottom w:val="nil"/>
              <w:right w:val="nil"/>
            </w:tcBorders>
            <w:noWrap/>
            <w:vAlign w:val="bottom"/>
            <w:hideMark/>
          </w:tcPr>
          <w:p w14:paraId="5B9F4300"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Robust Core</w:t>
            </w:r>
          </w:p>
        </w:tc>
      </w:tr>
      <w:tr w:rsidR="00233DCF" w:rsidRPr="00233DCF" w14:paraId="768BC397" w14:textId="77777777" w:rsidTr="00233DCF">
        <w:trPr>
          <w:trHeight w:val="300"/>
        </w:trPr>
        <w:tc>
          <w:tcPr>
            <w:tcW w:w="960" w:type="dxa"/>
            <w:tcBorders>
              <w:top w:val="nil"/>
              <w:left w:val="nil"/>
              <w:bottom w:val="nil"/>
              <w:right w:val="nil"/>
            </w:tcBorders>
            <w:noWrap/>
            <w:vAlign w:val="bottom"/>
            <w:hideMark/>
          </w:tcPr>
          <w:p w14:paraId="5C872C20"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221 =&gt;</w:t>
            </w:r>
          </w:p>
        </w:tc>
        <w:tc>
          <w:tcPr>
            <w:tcW w:w="820" w:type="dxa"/>
            <w:tcBorders>
              <w:top w:val="nil"/>
              <w:left w:val="nil"/>
              <w:bottom w:val="nil"/>
              <w:right w:val="nil"/>
            </w:tcBorders>
            <w:noWrap/>
            <w:vAlign w:val="bottom"/>
            <w:hideMark/>
          </w:tcPr>
          <w:p w14:paraId="48B4A416"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222</w:t>
            </w:r>
          </w:p>
        </w:tc>
        <w:tc>
          <w:tcPr>
            <w:tcW w:w="1020" w:type="dxa"/>
            <w:tcBorders>
              <w:top w:val="nil"/>
              <w:left w:val="nil"/>
              <w:bottom w:val="nil"/>
              <w:right w:val="nil"/>
            </w:tcBorders>
            <w:noWrap/>
            <w:vAlign w:val="bottom"/>
            <w:hideMark/>
          </w:tcPr>
          <w:p w14:paraId="5507BF60"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0.115</w:t>
            </w:r>
          </w:p>
        </w:tc>
        <w:tc>
          <w:tcPr>
            <w:tcW w:w="1160" w:type="dxa"/>
            <w:tcBorders>
              <w:top w:val="nil"/>
              <w:left w:val="nil"/>
              <w:bottom w:val="nil"/>
              <w:right w:val="nil"/>
            </w:tcBorders>
            <w:noWrap/>
            <w:vAlign w:val="bottom"/>
            <w:hideMark/>
          </w:tcPr>
          <w:p w14:paraId="2545A87C"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0.134</w:t>
            </w:r>
          </w:p>
        </w:tc>
        <w:tc>
          <w:tcPr>
            <w:tcW w:w="860" w:type="dxa"/>
            <w:tcBorders>
              <w:top w:val="nil"/>
              <w:left w:val="nil"/>
              <w:bottom w:val="nil"/>
              <w:right w:val="nil"/>
            </w:tcBorders>
            <w:noWrap/>
            <w:vAlign w:val="bottom"/>
            <w:hideMark/>
          </w:tcPr>
          <w:p w14:paraId="7C5D5205"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0.00002</w:t>
            </w:r>
          </w:p>
        </w:tc>
        <w:tc>
          <w:tcPr>
            <w:tcW w:w="980" w:type="dxa"/>
            <w:tcBorders>
              <w:top w:val="nil"/>
              <w:left w:val="nil"/>
              <w:bottom w:val="nil"/>
              <w:right w:val="nil"/>
            </w:tcBorders>
            <w:noWrap/>
            <w:vAlign w:val="bottom"/>
            <w:hideMark/>
          </w:tcPr>
          <w:p w14:paraId="232073C4"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0.00008</w:t>
            </w:r>
          </w:p>
        </w:tc>
        <w:tc>
          <w:tcPr>
            <w:tcW w:w="720" w:type="dxa"/>
            <w:tcBorders>
              <w:top w:val="nil"/>
              <w:left w:val="nil"/>
              <w:bottom w:val="nil"/>
              <w:right w:val="nil"/>
            </w:tcBorders>
            <w:noWrap/>
            <w:vAlign w:val="bottom"/>
            <w:hideMark/>
          </w:tcPr>
          <w:p w14:paraId="2F05FA0D"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Yes</w:t>
            </w:r>
          </w:p>
        </w:tc>
        <w:tc>
          <w:tcPr>
            <w:tcW w:w="1620" w:type="dxa"/>
            <w:tcBorders>
              <w:top w:val="nil"/>
              <w:left w:val="nil"/>
              <w:bottom w:val="nil"/>
              <w:right w:val="nil"/>
            </w:tcBorders>
            <w:noWrap/>
            <w:vAlign w:val="bottom"/>
            <w:hideMark/>
          </w:tcPr>
          <w:p w14:paraId="13568204"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Robust Core</w:t>
            </w:r>
          </w:p>
        </w:tc>
        <w:tc>
          <w:tcPr>
            <w:tcW w:w="1600" w:type="dxa"/>
            <w:tcBorders>
              <w:top w:val="nil"/>
              <w:left w:val="nil"/>
              <w:bottom w:val="nil"/>
              <w:right w:val="nil"/>
            </w:tcBorders>
            <w:noWrap/>
            <w:vAlign w:val="bottom"/>
            <w:hideMark/>
          </w:tcPr>
          <w:p w14:paraId="78C69D41"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Robust Core</w:t>
            </w:r>
          </w:p>
        </w:tc>
      </w:tr>
      <w:tr w:rsidR="00233DCF" w:rsidRPr="00233DCF" w14:paraId="7819189B" w14:textId="77777777" w:rsidTr="00233DCF">
        <w:trPr>
          <w:trHeight w:val="300"/>
        </w:trPr>
        <w:tc>
          <w:tcPr>
            <w:tcW w:w="960" w:type="dxa"/>
            <w:tcBorders>
              <w:top w:val="nil"/>
              <w:left w:val="nil"/>
              <w:bottom w:val="nil"/>
              <w:right w:val="nil"/>
            </w:tcBorders>
            <w:noWrap/>
            <w:vAlign w:val="bottom"/>
            <w:hideMark/>
          </w:tcPr>
          <w:p w14:paraId="6ADB7728"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201 =&gt;</w:t>
            </w:r>
          </w:p>
        </w:tc>
        <w:tc>
          <w:tcPr>
            <w:tcW w:w="820" w:type="dxa"/>
            <w:tcBorders>
              <w:top w:val="nil"/>
              <w:left w:val="nil"/>
              <w:bottom w:val="nil"/>
              <w:right w:val="nil"/>
            </w:tcBorders>
            <w:noWrap/>
            <w:vAlign w:val="bottom"/>
            <w:hideMark/>
          </w:tcPr>
          <w:p w14:paraId="00772AC1"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202</w:t>
            </w:r>
          </w:p>
        </w:tc>
        <w:tc>
          <w:tcPr>
            <w:tcW w:w="1020" w:type="dxa"/>
            <w:tcBorders>
              <w:top w:val="nil"/>
              <w:left w:val="nil"/>
              <w:bottom w:val="nil"/>
              <w:right w:val="nil"/>
            </w:tcBorders>
            <w:noWrap/>
            <w:vAlign w:val="bottom"/>
            <w:hideMark/>
          </w:tcPr>
          <w:p w14:paraId="76AFCCE8"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0.114</w:t>
            </w:r>
          </w:p>
        </w:tc>
        <w:tc>
          <w:tcPr>
            <w:tcW w:w="1160" w:type="dxa"/>
            <w:tcBorders>
              <w:top w:val="nil"/>
              <w:left w:val="nil"/>
              <w:bottom w:val="nil"/>
              <w:right w:val="nil"/>
            </w:tcBorders>
            <w:noWrap/>
            <w:vAlign w:val="bottom"/>
            <w:hideMark/>
          </w:tcPr>
          <w:p w14:paraId="5154D339"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0.158</w:t>
            </w:r>
          </w:p>
        </w:tc>
        <w:tc>
          <w:tcPr>
            <w:tcW w:w="860" w:type="dxa"/>
            <w:tcBorders>
              <w:top w:val="nil"/>
              <w:left w:val="nil"/>
              <w:bottom w:val="nil"/>
              <w:right w:val="nil"/>
            </w:tcBorders>
            <w:noWrap/>
            <w:vAlign w:val="bottom"/>
            <w:hideMark/>
          </w:tcPr>
          <w:p w14:paraId="3E380926"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0.00028</w:t>
            </w:r>
          </w:p>
        </w:tc>
        <w:tc>
          <w:tcPr>
            <w:tcW w:w="980" w:type="dxa"/>
            <w:tcBorders>
              <w:top w:val="nil"/>
              <w:left w:val="nil"/>
              <w:bottom w:val="nil"/>
              <w:right w:val="nil"/>
            </w:tcBorders>
            <w:noWrap/>
            <w:vAlign w:val="bottom"/>
            <w:hideMark/>
          </w:tcPr>
          <w:p w14:paraId="06C3CFAC"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0.00002</w:t>
            </w:r>
          </w:p>
        </w:tc>
        <w:tc>
          <w:tcPr>
            <w:tcW w:w="720" w:type="dxa"/>
            <w:tcBorders>
              <w:top w:val="nil"/>
              <w:left w:val="nil"/>
              <w:bottom w:val="nil"/>
              <w:right w:val="nil"/>
            </w:tcBorders>
            <w:noWrap/>
            <w:vAlign w:val="bottom"/>
            <w:hideMark/>
          </w:tcPr>
          <w:p w14:paraId="2102BD4C"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Yes</w:t>
            </w:r>
          </w:p>
        </w:tc>
        <w:tc>
          <w:tcPr>
            <w:tcW w:w="1620" w:type="dxa"/>
            <w:tcBorders>
              <w:top w:val="nil"/>
              <w:left w:val="nil"/>
              <w:bottom w:val="nil"/>
              <w:right w:val="nil"/>
            </w:tcBorders>
            <w:noWrap/>
            <w:vAlign w:val="bottom"/>
            <w:hideMark/>
          </w:tcPr>
          <w:p w14:paraId="0124CEDA"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Robust Core</w:t>
            </w:r>
          </w:p>
        </w:tc>
        <w:tc>
          <w:tcPr>
            <w:tcW w:w="1600" w:type="dxa"/>
            <w:tcBorders>
              <w:top w:val="nil"/>
              <w:left w:val="nil"/>
              <w:bottom w:val="nil"/>
              <w:right w:val="nil"/>
            </w:tcBorders>
            <w:noWrap/>
            <w:vAlign w:val="bottom"/>
            <w:hideMark/>
          </w:tcPr>
          <w:p w14:paraId="7C20242F"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Robust Core</w:t>
            </w:r>
          </w:p>
        </w:tc>
      </w:tr>
      <w:tr w:rsidR="00233DCF" w:rsidRPr="00233DCF" w14:paraId="0DDB903D" w14:textId="77777777" w:rsidTr="00233DCF">
        <w:trPr>
          <w:trHeight w:val="300"/>
        </w:trPr>
        <w:tc>
          <w:tcPr>
            <w:tcW w:w="960" w:type="dxa"/>
            <w:tcBorders>
              <w:top w:val="nil"/>
              <w:left w:val="nil"/>
              <w:bottom w:val="nil"/>
              <w:right w:val="nil"/>
            </w:tcBorders>
            <w:noWrap/>
            <w:vAlign w:val="bottom"/>
            <w:hideMark/>
          </w:tcPr>
          <w:p w14:paraId="75D1EF83"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122 =&gt;</w:t>
            </w:r>
          </w:p>
        </w:tc>
        <w:tc>
          <w:tcPr>
            <w:tcW w:w="820" w:type="dxa"/>
            <w:tcBorders>
              <w:top w:val="nil"/>
              <w:left w:val="nil"/>
              <w:bottom w:val="nil"/>
              <w:right w:val="nil"/>
            </w:tcBorders>
            <w:noWrap/>
            <w:vAlign w:val="bottom"/>
            <w:hideMark/>
          </w:tcPr>
          <w:p w14:paraId="11DE6283"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222</w:t>
            </w:r>
          </w:p>
        </w:tc>
        <w:tc>
          <w:tcPr>
            <w:tcW w:w="1020" w:type="dxa"/>
            <w:tcBorders>
              <w:top w:val="nil"/>
              <w:left w:val="nil"/>
              <w:bottom w:val="nil"/>
              <w:right w:val="nil"/>
            </w:tcBorders>
            <w:noWrap/>
            <w:vAlign w:val="bottom"/>
            <w:hideMark/>
          </w:tcPr>
          <w:p w14:paraId="1B76010D"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0.079</w:t>
            </w:r>
          </w:p>
        </w:tc>
        <w:tc>
          <w:tcPr>
            <w:tcW w:w="1160" w:type="dxa"/>
            <w:tcBorders>
              <w:top w:val="nil"/>
              <w:left w:val="nil"/>
              <w:bottom w:val="nil"/>
              <w:right w:val="nil"/>
            </w:tcBorders>
            <w:noWrap/>
            <w:vAlign w:val="bottom"/>
            <w:hideMark/>
          </w:tcPr>
          <w:p w14:paraId="191311D0"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0.073</w:t>
            </w:r>
          </w:p>
        </w:tc>
        <w:tc>
          <w:tcPr>
            <w:tcW w:w="860" w:type="dxa"/>
            <w:tcBorders>
              <w:top w:val="nil"/>
              <w:left w:val="nil"/>
              <w:bottom w:val="nil"/>
              <w:right w:val="nil"/>
            </w:tcBorders>
            <w:noWrap/>
            <w:vAlign w:val="bottom"/>
            <w:hideMark/>
          </w:tcPr>
          <w:p w14:paraId="0B9F13FC"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0.00046</w:t>
            </w:r>
          </w:p>
        </w:tc>
        <w:tc>
          <w:tcPr>
            <w:tcW w:w="980" w:type="dxa"/>
            <w:tcBorders>
              <w:top w:val="nil"/>
              <w:left w:val="nil"/>
              <w:bottom w:val="nil"/>
              <w:right w:val="nil"/>
            </w:tcBorders>
            <w:noWrap/>
            <w:vAlign w:val="bottom"/>
            <w:hideMark/>
          </w:tcPr>
          <w:p w14:paraId="70CE5F98"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0.00798</w:t>
            </w:r>
          </w:p>
        </w:tc>
        <w:tc>
          <w:tcPr>
            <w:tcW w:w="720" w:type="dxa"/>
            <w:tcBorders>
              <w:top w:val="nil"/>
              <w:left w:val="nil"/>
              <w:bottom w:val="nil"/>
              <w:right w:val="nil"/>
            </w:tcBorders>
            <w:noWrap/>
            <w:vAlign w:val="bottom"/>
            <w:hideMark/>
          </w:tcPr>
          <w:p w14:paraId="38363B23"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Yes</w:t>
            </w:r>
          </w:p>
        </w:tc>
        <w:tc>
          <w:tcPr>
            <w:tcW w:w="1620" w:type="dxa"/>
            <w:tcBorders>
              <w:top w:val="nil"/>
              <w:left w:val="nil"/>
              <w:bottom w:val="nil"/>
              <w:right w:val="nil"/>
            </w:tcBorders>
            <w:noWrap/>
            <w:vAlign w:val="bottom"/>
            <w:hideMark/>
          </w:tcPr>
          <w:p w14:paraId="13877D5E"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Robust Core</w:t>
            </w:r>
          </w:p>
        </w:tc>
        <w:tc>
          <w:tcPr>
            <w:tcW w:w="1600" w:type="dxa"/>
            <w:tcBorders>
              <w:top w:val="nil"/>
              <w:left w:val="nil"/>
              <w:bottom w:val="nil"/>
              <w:right w:val="nil"/>
            </w:tcBorders>
            <w:noWrap/>
            <w:vAlign w:val="bottom"/>
            <w:hideMark/>
          </w:tcPr>
          <w:p w14:paraId="4FE135D8"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Sig. under FDR</w:t>
            </w:r>
          </w:p>
        </w:tc>
      </w:tr>
      <w:tr w:rsidR="00233DCF" w:rsidRPr="00233DCF" w14:paraId="2CA92737" w14:textId="77777777" w:rsidTr="00233DCF">
        <w:trPr>
          <w:trHeight w:val="300"/>
        </w:trPr>
        <w:tc>
          <w:tcPr>
            <w:tcW w:w="960" w:type="dxa"/>
            <w:tcBorders>
              <w:top w:val="nil"/>
              <w:left w:val="nil"/>
              <w:bottom w:val="nil"/>
              <w:right w:val="nil"/>
            </w:tcBorders>
            <w:noWrap/>
            <w:vAlign w:val="bottom"/>
            <w:hideMark/>
          </w:tcPr>
          <w:p w14:paraId="3B3935CC"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021 =&gt;</w:t>
            </w:r>
          </w:p>
        </w:tc>
        <w:tc>
          <w:tcPr>
            <w:tcW w:w="820" w:type="dxa"/>
            <w:tcBorders>
              <w:top w:val="nil"/>
              <w:left w:val="nil"/>
              <w:bottom w:val="nil"/>
              <w:right w:val="nil"/>
            </w:tcBorders>
            <w:noWrap/>
            <w:vAlign w:val="bottom"/>
            <w:hideMark/>
          </w:tcPr>
          <w:p w14:paraId="1CD1B172"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022</w:t>
            </w:r>
          </w:p>
        </w:tc>
        <w:tc>
          <w:tcPr>
            <w:tcW w:w="1020" w:type="dxa"/>
            <w:tcBorders>
              <w:top w:val="nil"/>
              <w:left w:val="nil"/>
              <w:bottom w:val="nil"/>
              <w:right w:val="nil"/>
            </w:tcBorders>
            <w:noWrap/>
            <w:vAlign w:val="bottom"/>
            <w:hideMark/>
          </w:tcPr>
          <w:p w14:paraId="33913031"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0.176</w:t>
            </w:r>
          </w:p>
        </w:tc>
        <w:tc>
          <w:tcPr>
            <w:tcW w:w="1160" w:type="dxa"/>
            <w:tcBorders>
              <w:top w:val="nil"/>
              <w:left w:val="nil"/>
              <w:bottom w:val="nil"/>
              <w:right w:val="nil"/>
            </w:tcBorders>
            <w:noWrap/>
            <w:vAlign w:val="bottom"/>
            <w:hideMark/>
          </w:tcPr>
          <w:p w14:paraId="63F2901B"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0.182</w:t>
            </w:r>
          </w:p>
        </w:tc>
        <w:tc>
          <w:tcPr>
            <w:tcW w:w="860" w:type="dxa"/>
            <w:tcBorders>
              <w:top w:val="nil"/>
              <w:left w:val="nil"/>
              <w:bottom w:val="nil"/>
              <w:right w:val="nil"/>
            </w:tcBorders>
            <w:noWrap/>
            <w:vAlign w:val="bottom"/>
            <w:hideMark/>
          </w:tcPr>
          <w:p w14:paraId="6B8F4083"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0.00053</w:t>
            </w:r>
          </w:p>
        </w:tc>
        <w:tc>
          <w:tcPr>
            <w:tcW w:w="980" w:type="dxa"/>
            <w:tcBorders>
              <w:top w:val="nil"/>
              <w:left w:val="nil"/>
              <w:bottom w:val="nil"/>
              <w:right w:val="nil"/>
            </w:tcBorders>
            <w:noWrap/>
            <w:vAlign w:val="bottom"/>
            <w:hideMark/>
          </w:tcPr>
          <w:p w14:paraId="71AAC039"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0.00704</w:t>
            </w:r>
          </w:p>
        </w:tc>
        <w:tc>
          <w:tcPr>
            <w:tcW w:w="720" w:type="dxa"/>
            <w:tcBorders>
              <w:top w:val="nil"/>
              <w:left w:val="nil"/>
              <w:bottom w:val="nil"/>
              <w:right w:val="nil"/>
            </w:tcBorders>
            <w:noWrap/>
            <w:vAlign w:val="bottom"/>
            <w:hideMark/>
          </w:tcPr>
          <w:p w14:paraId="3E9D346E"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Yes</w:t>
            </w:r>
          </w:p>
        </w:tc>
        <w:tc>
          <w:tcPr>
            <w:tcW w:w="1620" w:type="dxa"/>
            <w:tcBorders>
              <w:top w:val="nil"/>
              <w:left w:val="nil"/>
              <w:bottom w:val="nil"/>
              <w:right w:val="nil"/>
            </w:tcBorders>
            <w:noWrap/>
            <w:vAlign w:val="bottom"/>
            <w:hideMark/>
          </w:tcPr>
          <w:p w14:paraId="2FF14531"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Robust Core</w:t>
            </w:r>
          </w:p>
        </w:tc>
        <w:tc>
          <w:tcPr>
            <w:tcW w:w="1600" w:type="dxa"/>
            <w:tcBorders>
              <w:top w:val="nil"/>
              <w:left w:val="nil"/>
              <w:bottom w:val="nil"/>
              <w:right w:val="nil"/>
            </w:tcBorders>
            <w:noWrap/>
            <w:vAlign w:val="bottom"/>
            <w:hideMark/>
          </w:tcPr>
          <w:p w14:paraId="55F82B7C"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Sig. under FDR</w:t>
            </w:r>
          </w:p>
        </w:tc>
      </w:tr>
      <w:tr w:rsidR="00233DCF" w:rsidRPr="00233DCF" w14:paraId="3A3E1F3D" w14:textId="77777777" w:rsidTr="00233DCF">
        <w:trPr>
          <w:trHeight w:val="300"/>
        </w:trPr>
        <w:tc>
          <w:tcPr>
            <w:tcW w:w="960" w:type="dxa"/>
            <w:tcBorders>
              <w:top w:val="nil"/>
              <w:left w:val="nil"/>
              <w:bottom w:val="nil"/>
              <w:right w:val="nil"/>
            </w:tcBorders>
            <w:noWrap/>
            <w:vAlign w:val="bottom"/>
            <w:hideMark/>
          </w:tcPr>
          <w:p w14:paraId="7052236C"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020 =&gt;</w:t>
            </w:r>
          </w:p>
        </w:tc>
        <w:tc>
          <w:tcPr>
            <w:tcW w:w="820" w:type="dxa"/>
            <w:tcBorders>
              <w:top w:val="nil"/>
              <w:left w:val="nil"/>
              <w:bottom w:val="nil"/>
              <w:right w:val="nil"/>
            </w:tcBorders>
            <w:noWrap/>
            <w:vAlign w:val="bottom"/>
            <w:hideMark/>
          </w:tcPr>
          <w:p w14:paraId="1A25DA27"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221</w:t>
            </w:r>
          </w:p>
        </w:tc>
        <w:tc>
          <w:tcPr>
            <w:tcW w:w="1020" w:type="dxa"/>
            <w:tcBorders>
              <w:top w:val="nil"/>
              <w:left w:val="nil"/>
              <w:bottom w:val="nil"/>
              <w:right w:val="nil"/>
            </w:tcBorders>
            <w:noWrap/>
            <w:vAlign w:val="bottom"/>
            <w:hideMark/>
          </w:tcPr>
          <w:p w14:paraId="392EBDA5"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0.094</w:t>
            </w:r>
          </w:p>
        </w:tc>
        <w:tc>
          <w:tcPr>
            <w:tcW w:w="1160" w:type="dxa"/>
            <w:tcBorders>
              <w:top w:val="nil"/>
              <w:left w:val="nil"/>
              <w:bottom w:val="nil"/>
              <w:right w:val="nil"/>
            </w:tcBorders>
            <w:noWrap/>
            <w:vAlign w:val="bottom"/>
            <w:hideMark/>
          </w:tcPr>
          <w:p w14:paraId="512E349D"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0.097</w:t>
            </w:r>
          </w:p>
        </w:tc>
        <w:tc>
          <w:tcPr>
            <w:tcW w:w="860" w:type="dxa"/>
            <w:tcBorders>
              <w:top w:val="nil"/>
              <w:left w:val="nil"/>
              <w:bottom w:val="nil"/>
              <w:right w:val="nil"/>
            </w:tcBorders>
            <w:noWrap/>
            <w:vAlign w:val="bottom"/>
            <w:hideMark/>
          </w:tcPr>
          <w:p w14:paraId="74A5446C"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0.00075</w:t>
            </w:r>
          </w:p>
        </w:tc>
        <w:tc>
          <w:tcPr>
            <w:tcW w:w="980" w:type="dxa"/>
            <w:tcBorders>
              <w:top w:val="nil"/>
              <w:left w:val="nil"/>
              <w:bottom w:val="nil"/>
              <w:right w:val="nil"/>
            </w:tcBorders>
            <w:noWrap/>
            <w:vAlign w:val="bottom"/>
            <w:hideMark/>
          </w:tcPr>
          <w:p w14:paraId="033ED7D4"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0.00598</w:t>
            </w:r>
          </w:p>
        </w:tc>
        <w:tc>
          <w:tcPr>
            <w:tcW w:w="720" w:type="dxa"/>
            <w:tcBorders>
              <w:top w:val="nil"/>
              <w:left w:val="nil"/>
              <w:bottom w:val="nil"/>
              <w:right w:val="nil"/>
            </w:tcBorders>
            <w:noWrap/>
            <w:vAlign w:val="bottom"/>
            <w:hideMark/>
          </w:tcPr>
          <w:p w14:paraId="1CEA8568"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Yes</w:t>
            </w:r>
          </w:p>
        </w:tc>
        <w:tc>
          <w:tcPr>
            <w:tcW w:w="1620" w:type="dxa"/>
            <w:tcBorders>
              <w:top w:val="nil"/>
              <w:left w:val="nil"/>
              <w:bottom w:val="nil"/>
              <w:right w:val="nil"/>
            </w:tcBorders>
            <w:noWrap/>
            <w:vAlign w:val="bottom"/>
            <w:hideMark/>
          </w:tcPr>
          <w:p w14:paraId="6C0CB2C2"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Sig. under FDR</w:t>
            </w:r>
          </w:p>
        </w:tc>
        <w:tc>
          <w:tcPr>
            <w:tcW w:w="1600" w:type="dxa"/>
            <w:tcBorders>
              <w:top w:val="nil"/>
              <w:left w:val="nil"/>
              <w:bottom w:val="nil"/>
              <w:right w:val="nil"/>
            </w:tcBorders>
            <w:noWrap/>
            <w:vAlign w:val="bottom"/>
            <w:hideMark/>
          </w:tcPr>
          <w:p w14:paraId="3E32B45D"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Sig. under FDR</w:t>
            </w:r>
          </w:p>
        </w:tc>
      </w:tr>
      <w:tr w:rsidR="00233DCF" w:rsidRPr="00233DCF" w14:paraId="1C176D3C" w14:textId="77777777" w:rsidTr="00233DCF">
        <w:trPr>
          <w:trHeight w:val="300"/>
        </w:trPr>
        <w:tc>
          <w:tcPr>
            <w:tcW w:w="960" w:type="dxa"/>
            <w:tcBorders>
              <w:top w:val="nil"/>
              <w:left w:val="nil"/>
              <w:bottom w:val="nil"/>
              <w:right w:val="nil"/>
            </w:tcBorders>
            <w:noWrap/>
            <w:vAlign w:val="bottom"/>
            <w:hideMark/>
          </w:tcPr>
          <w:p w14:paraId="7C413DA0"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120 =&gt;</w:t>
            </w:r>
          </w:p>
        </w:tc>
        <w:tc>
          <w:tcPr>
            <w:tcW w:w="820" w:type="dxa"/>
            <w:tcBorders>
              <w:top w:val="nil"/>
              <w:left w:val="nil"/>
              <w:bottom w:val="nil"/>
              <w:right w:val="nil"/>
            </w:tcBorders>
            <w:noWrap/>
            <w:vAlign w:val="bottom"/>
            <w:hideMark/>
          </w:tcPr>
          <w:p w14:paraId="6DE6147D"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122</w:t>
            </w:r>
          </w:p>
        </w:tc>
        <w:tc>
          <w:tcPr>
            <w:tcW w:w="1020" w:type="dxa"/>
            <w:tcBorders>
              <w:top w:val="nil"/>
              <w:left w:val="nil"/>
              <w:bottom w:val="nil"/>
              <w:right w:val="nil"/>
            </w:tcBorders>
            <w:noWrap/>
            <w:vAlign w:val="bottom"/>
            <w:hideMark/>
          </w:tcPr>
          <w:p w14:paraId="2EACF8DF"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0.170</w:t>
            </w:r>
          </w:p>
        </w:tc>
        <w:tc>
          <w:tcPr>
            <w:tcW w:w="1160" w:type="dxa"/>
            <w:tcBorders>
              <w:top w:val="nil"/>
              <w:left w:val="nil"/>
              <w:bottom w:val="nil"/>
              <w:right w:val="nil"/>
            </w:tcBorders>
            <w:noWrap/>
            <w:vAlign w:val="bottom"/>
            <w:hideMark/>
          </w:tcPr>
          <w:p w14:paraId="3CD4476C"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0.177</w:t>
            </w:r>
          </w:p>
        </w:tc>
        <w:tc>
          <w:tcPr>
            <w:tcW w:w="860" w:type="dxa"/>
            <w:tcBorders>
              <w:top w:val="nil"/>
              <w:left w:val="nil"/>
              <w:bottom w:val="nil"/>
              <w:right w:val="nil"/>
            </w:tcBorders>
            <w:noWrap/>
            <w:vAlign w:val="bottom"/>
            <w:hideMark/>
          </w:tcPr>
          <w:p w14:paraId="36C4CDDB"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0.00096</w:t>
            </w:r>
          </w:p>
        </w:tc>
        <w:tc>
          <w:tcPr>
            <w:tcW w:w="980" w:type="dxa"/>
            <w:tcBorders>
              <w:top w:val="nil"/>
              <w:left w:val="nil"/>
              <w:bottom w:val="nil"/>
              <w:right w:val="nil"/>
            </w:tcBorders>
            <w:noWrap/>
            <w:vAlign w:val="bottom"/>
            <w:hideMark/>
          </w:tcPr>
          <w:p w14:paraId="371A194F"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0.00863</w:t>
            </w:r>
          </w:p>
        </w:tc>
        <w:tc>
          <w:tcPr>
            <w:tcW w:w="720" w:type="dxa"/>
            <w:tcBorders>
              <w:top w:val="nil"/>
              <w:left w:val="nil"/>
              <w:bottom w:val="nil"/>
              <w:right w:val="nil"/>
            </w:tcBorders>
            <w:noWrap/>
            <w:vAlign w:val="bottom"/>
            <w:hideMark/>
          </w:tcPr>
          <w:p w14:paraId="7F49C1DD"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Yes</w:t>
            </w:r>
          </w:p>
        </w:tc>
        <w:tc>
          <w:tcPr>
            <w:tcW w:w="1620" w:type="dxa"/>
            <w:tcBorders>
              <w:top w:val="nil"/>
              <w:left w:val="nil"/>
              <w:bottom w:val="nil"/>
              <w:right w:val="nil"/>
            </w:tcBorders>
            <w:noWrap/>
            <w:vAlign w:val="bottom"/>
            <w:hideMark/>
          </w:tcPr>
          <w:p w14:paraId="4B9F3724"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Sig. under FDR</w:t>
            </w:r>
          </w:p>
        </w:tc>
        <w:tc>
          <w:tcPr>
            <w:tcW w:w="1600" w:type="dxa"/>
            <w:tcBorders>
              <w:top w:val="nil"/>
              <w:left w:val="nil"/>
              <w:bottom w:val="nil"/>
              <w:right w:val="nil"/>
            </w:tcBorders>
            <w:noWrap/>
            <w:vAlign w:val="bottom"/>
            <w:hideMark/>
          </w:tcPr>
          <w:p w14:paraId="361343A9"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Sig. under FDR</w:t>
            </w:r>
          </w:p>
        </w:tc>
      </w:tr>
      <w:tr w:rsidR="00233DCF" w:rsidRPr="00233DCF" w14:paraId="0EB8C903" w14:textId="77777777" w:rsidTr="00233DCF">
        <w:trPr>
          <w:trHeight w:val="300"/>
        </w:trPr>
        <w:tc>
          <w:tcPr>
            <w:tcW w:w="960" w:type="dxa"/>
            <w:tcBorders>
              <w:top w:val="nil"/>
              <w:left w:val="nil"/>
              <w:bottom w:val="nil"/>
              <w:right w:val="nil"/>
            </w:tcBorders>
            <w:noWrap/>
            <w:vAlign w:val="bottom"/>
            <w:hideMark/>
          </w:tcPr>
          <w:p w14:paraId="49C64B2C"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202 =&gt;</w:t>
            </w:r>
          </w:p>
        </w:tc>
        <w:tc>
          <w:tcPr>
            <w:tcW w:w="820" w:type="dxa"/>
            <w:tcBorders>
              <w:top w:val="nil"/>
              <w:left w:val="nil"/>
              <w:bottom w:val="nil"/>
              <w:right w:val="nil"/>
            </w:tcBorders>
            <w:noWrap/>
            <w:vAlign w:val="bottom"/>
            <w:hideMark/>
          </w:tcPr>
          <w:p w14:paraId="573EAF8C"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201</w:t>
            </w:r>
          </w:p>
        </w:tc>
        <w:tc>
          <w:tcPr>
            <w:tcW w:w="1020" w:type="dxa"/>
            <w:tcBorders>
              <w:top w:val="nil"/>
              <w:left w:val="nil"/>
              <w:bottom w:val="nil"/>
              <w:right w:val="nil"/>
            </w:tcBorders>
            <w:noWrap/>
            <w:vAlign w:val="bottom"/>
            <w:hideMark/>
          </w:tcPr>
          <w:p w14:paraId="1AE18286"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0.112</w:t>
            </w:r>
          </w:p>
        </w:tc>
        <w:tc>
          <w:tcPr>
            <w:tcW w:w="1160" w:type="dxa"/>
            <w:tcBorders>
              <w:top w:val="nil"/>
              <w:left w:val="nil"/>
              <w:bottom w:val="nil"/>
              <w:right w:val="nil"/>
            </w:tcBorders>
            <w:noWrap/>
            <w:vAlign w:val="bottom"/>
            <w:hideMark/>
          </w:tcPr>
          <w:p w14:paraId="58592166"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0.166</w:t>
            </w:r>
          </w:p>
        </w:tc>
        <w:tc>
          <w:tcPr>
            <w:tcW w:w="860" w:type="dxa"/>
            <w:tcBorders>
              <w:top w:val="nil"/>
              <w:left w:val="nil"/>
              <w:bottom w:val="nil"/>
              <w:right w:val="nil"/>
            </w:tcBorders>
            <w:noWrap/>
            <w:vAlign w:val="bottom"/>
            <w:hideMark/>
          </w:tcPr>
          <w:p w14:paraId="6E633446"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0.00210</w:t>
            </w:r>
          </w:p>
        </w:tc>
        <w:tc>
          <w:tcPr>
            <w:tcW w:w="980" w:type="dxa"/>
            <w:tcBorders>
              <w:top w:val="nil"/>
              <w:left w:val="nil"/>
              <w:bottom w:val="nil"/>
              <w:right w:val="nil"/>
            </w:tcBorders>
            <w:noWrap/>
            <w:vAlign w:val="bottom"/>
            <w:hideMark/>
          </w:tcPr>
          <w:p w14:paraId="6ED942AF"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0.00009</w:t>
            </w:r>
          </w:p>
        </w:tc>
        <w:tc>
          <w:tcPr>
            <w:tcW w:w="720" w:type="dxa"/>
            <w:tcBorders>
              <w:top w:val="nil"/>
              <w:left w:val="nil"/>
              <w:bottom w:val="nil"/>
              <w:right w:val="nil"/>
            </w:tcBorders>
            <w:noWrap/>
            <w:vAlign w:val="bottom"/>
            <w:hideMark/>
          </w:tcPr>
          <w:p w14:paraId="1FE02B16"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No</w:t>
            </w:r>
          </w:p>
        </w:tc>
        <w:tc>
          <w:tcPr>
            <w:tcW w:w="1620" w:type="dxa"/>
            <w:tcBorders>
              <w:top w:val="nil"/>
              <w:left w:val="nil"/>
              <w:bottom w:val="nil"/>
              <w:right w:val="nil"/>
            </w:tcBorders>
            <w:noWrap/>
            <w:vAlign w:val="bottom"/>
            <w:hideMark/>
          </w:tcPr>
          <w:p w14:paraId="75E1BA0A"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Sig. under FDR</w:t>
            </w:r>
          </w:p>
        </w:tc>
        <w:tc>
          <w:tcPr>
            <w:tcW w:w="1600" w:type="dxa"/>
            <w:tcBorders>
              <w:top w:val="nil"/>
              <w:left w:val="nil"/>
              <w:bottom w:val="nil"/>
              <w:right w:val="nil"/>
            </w:tcBorders>
            <w:noWrap/>
            <w:vAlign w:val="bottom"/>
            <w:hideMark/>
          </w:tcPr>
          <w:p w14:paraId="6FAB03AC"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Robust Core</w:t>
            </w:r>
          </w:p>
        </w:tc>
      </w:tr>
      <w:tr w:rsidR="00233DCF" w:rsidRPr="00233DCF" w14:paraId="3884F62D" w14:textId="77777777" w:rsidTr="00233DCF">
        <w:trPr>
          <w:trHeight w:val="300"/>
        </w:trPr>
        <w:tc>
          <w:tcPr>
            <w:tcW w:w="960" w:type="dxa"/>
            <w:tcBorders>
              <w:top w:val="nil"/>
              <w:left w:val="nil"/>
              <w:bottom w:val="nil"/>
              <w:right w:val="nil"/>
            </w:tcBorders>
            <w:noWrap/>
            <w:vAlign w:val="bottom"/>
            <w:hideMark/>
          </w:tcPr>
          <w:p w14:paraId="62041E60"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020 =&gt;</w:t>
            </w:r>
          </w:p>
        </w:tc>
        <w:tc>
          <w:tcPr>
            <w:tcW w:w="820" w:type="dxa"/>
            <w:tcBorders>
              <w:top w:val="nil"/>
              <w:left w:val="nil"/>
              <w:bottom w:val="nil"/>
              <w:right w:val="nil"/>
            </w:tcBorders>
            <w:noWrap/>
            <w:vAlign w:val="bottom"/>
            <w:hideMark/>
          </w:tcPr>
          <w:p w14:paraId="530E421C"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220</w:t>
            </w:r>
          </w:p>
        </w:tc>
        <w:tc>
          <w:tcPr>
            <w:tcW w:w="1020" w:type="dxa"/>
            <w:tcBorders>
              <w:top w:val="nil"/>
              <w:left w:val="nil"/>
              <w:bottom w:val="nil"/>
              <w:right w:val="nil"/>
            </w:tcBorders>
            <w:noWrap/>
            <w:vAlign w:val="bottom"/>
            <w:hideMark/>
          </w:tcPr>
          <w:p w14:paraId="650B01F6"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0.068</w:t>
            </w:r>
          </w:p>
        </w:tc>
        <w:tc>
          <w:tcPr>
            <w:tcW w:w="1160" w:type="dxa"/>
            <w:tcBorders>
              <w:top w:val="nil"/>
              <w:left w:val="nil"/>
              <w:bottom w:val="nil"/>
              <w:right w:val="nil"/>
            </w:tcBorders>
            <w:noWrap/>
            <w:vAlign w:val="bottom"/>
            <w:hideMark/>
          </w:tcPr>
          <w:p w14:paraId="725739BE"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0.080</w:t>
            </w:r>
          </w:p>
        </w:tc>
        <w:tc>
          <w:tcPr>
            <w:tcW w:w="860" w:type="dxa"/>
            <w:tcBorders>
              <w:top w:val="nil"/>
              <w:left w:val="nil"/>
              <w:bottom w:val="nil"/>
              <w:right w:val="nil"/>
            </w:tcBorders>
            <w:noWrap/>
            <w:vAlign w:val="bottom"/>
            <w:hideMark/>
          </w:tcPr>
          <w:p w14:paraId="174F2623"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0.00318</w:t>
            </w:r>
          </w:p>
        </w:tc>
        <w:tc>
          <w:tcPr>
            <w:tcW w:w="980" w:type="dxa"/>
            <w:tcBorders>
              <w:top w:val="nil"/>
              <w:left w:val="nil"/>
              <w:bottom w:val="nil"/>
              <w:right w:val="nil"/>
            </w:tcBorders>
            <w:noWrap/>
            <w:vAlign w:val="bottom"/>
            <w:hideMark/>
          </w:tcPr>
          <w:p w14:paraId="5276C6C9"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0.01162</w:t>
            </w:r>
          </w:p>
        </w:tc>
        <w:tc>
          <w:tcPr>
            <w:tcW w:w="720" w:type="dxa"/>
            <w:tcBorders>
              <w:top w:val="nil"/>
              <w:left w:val="nil"/>
              <w:bottom w:val="nil"/>
              <w:right w:val="nil"/>
            </w:tcBorders>
            <w:noWrap/>
            <w:vAlign w:val="bottom"/>
            <w:hideMark/>
          </w:tcPr>
          <w:p w14:paraId="31B4DE18"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Yes</w:t>
            </w:r>
          </w:p>
        </w:tc>
        <w:tc>
          <w:tcPr>
            <w:tcW w:w="1620" w:type="dxa"/>
            <w:tcBorders>
              <w:top w:val="nil"/>
              <w:left w:val="nil"/>
              <w:bottom w:val="nil"/>
              <w:right w:val="nil"/>
            </w:tcBorders>
            <w:noWrap/>
            <w:vAlign w:val="bottom"/>
            <w:hideMark/>
          </w:tcPr>
          <w:p w14:paraId="02B906BB"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Sig. under FDR</w:t>
            </w:r>
          </w:p>
        </w:tc>
        <w:tc>
          <w:tcPr>
            <w:tcW w:w="1600" w:type="dxa"/>
            <w:tcBorders>
              <w:top w:val="nil"/>
              <w:left w:val="nil"/>
              <w:bottom w:val="nil"/>
              <w:right w:val="nil"/>
            </w:tcBorders>
            <w:noWrap/>
            <w:vAlign w:val="bottom"/>
            <w:hideMark/>
          </w:tcPr>
          <w:p w14:paraId="0F43D667"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Sig. under FDR</w:t>
            </w:r>
          </w:p>
        </w:tc>
      </w:tr>
      <w:tr w:rsidR="00233DCF" w:rsidRPr="00233DCF" w14:paraId="6036A9FA" w14:textId="77777777" w:rsidTr="00233DCF">
        <w:trPr>
          <w:trHeight w:val="300"/>
        </w:trPr>
        <w:tc>
          <w:tcPr>
            <w:tcW w:w="960" w:type="dxa"/>
            <w:tcBorders>
              <w:top w:val="nil"/>
              <w:left w:val="nil"/>
              <w:bottom w:val="nil"/>
              <w:right w:val="nil"/>
            </w:tcBorders>
            <w:noWrap/>
            <w:vAlign w:val="bottom"/>
            <w:hideMark/>
          </w:tcPr>
          <w:p w14:paraId="5FE4F523"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120 =&gt;</w:t>
            </w:r>
          </w:p>
        </w:tc>
        <w:tc>
          <w:tcPr>
            <w:tcW w:w="820" w:type="dxa"/>
            <w:tcBorders>
              <w:top w:val="nil"/>
              <w:left w:val="nil"/>
              <w:bottom w:val="nil"/>
              <w:right w:val="nil"/>
            </w:tcBorders>
            <w:noWrap/>
            <w:vAlign w:val="bottom"/>
            <w:hideMark/>
          </w:tcPr>
          <w:p w14:paraId="6D9D22EB"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220</w:t>
            </w:r>
          </w:p>
        </w:tc>
        <w:tc>
          <w:tcPr>
            <w:tcW w:w="1020" w:type="dxa"/>
            <w:tcBorders>
              <w:top w:val="nil"/>
              <w:left w:val="nil"/>
              <w:bottom w:val="nil"/>
              <w:right w:val="nil"/>
            </w:tcBorders>
            <w:noWrap/>
            <w:vAlign w:val="bottom"/>
            <w:hideMark/>
          </w:tcPr>
          <w:p w14:paraId="40517E18"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0.081</w:t>
            </w:r>
          </w:p>
        </w:tc>
        <w:tc>
          <w:tcPr>
            <w:tcW w:w="1160" w:type="dxa"/>
            <w:tcBorders>
              <w:top w:val="nil"/>
              <w:left w:val="nil"/>
              <w:bottom w:val="nil"/>
              <w:right w:val="nil"/>
            </w:tcBorders>
            <w:noWrap/>
            <w:vAlign w:val="bottom"/>
            <w:hideMark/>
          </w:tcPr>
          <w:p w14:paraId="115F27C7"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0.097</w:t>
            </w:r>
          </w:p>
        </w:tc>
        <w:tc>
          <w:tcPr>
            <w:tcW w:w="860" w:type="dxa"/>
            <w:tcBorders>
              <w:top w:val="nil"/>
              <w:left w:val="nil"/>
              <w:bottom w:val="nil"/>
              <w:right w:val="nil"/>
            </w:tcBorders>
            <w:noWrap/>
            <w:vAlign w:val="bottom"/>
            <w:hideMark/>
          </w:tcPr>
          <w:p w14:paraId="0A85B498"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0.00611</w:t>
            </w:r>
          </w:p>
        </w:tc>
        <w:tc>
          <w:tcPr>
            <w:tcW w:w="980" w:type="dxa"/>
            <w:tcBorders>
              <w:top w:val="nil"/>
              <w:left w:val="nil"/>
              <w:bottom w:val="nil"/>
              <w:right w:val="nil"/>
            </w:tcBorders>
            <w:noWrap/>
            <w:vAlign w:val="bottom"/>
            <w:hideMark/>
          </w:tcPr>
          <w:p w14:paraId="466DE0A4"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0.01351</w:t>
            </w:r>
          </w:p>
        </w:tc>
        <w:tc>
          <w:tcPr>
            <w:tcW w:w="720" w:type="dxa"/>
            <w:tcBorders>
              <w:top w:val="nil"/>
              <w:left w:val="nil"/>
              <w:bottom w:val="nil"/>
              <w:right w:val="nil"/>
            </w:tcBorders>
            <w:noWrap/>
            <w:vAlign w:val="bottom"/>
            <w:hideMark/>
          </w:tcPr>
          <w:p w14:paraId="004FE0FA"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Yes</w:t>
            </w:r>
          </w:p>
        </w:tc>
        <w:tc>
          <w:tcPr>
            <w:tcW w:w="1620" w:type="dxa"/>
            <w:tcBorders>
              <w:top w:val="nil"/>
              <w:left w:val="nil"/>
              <w:bottom w:val="nil"/>
              <w:right w:val="nil"/>
            </w:tcBorders>
            <w:noWrap/>
            <w:vAlign w:val="bottom"/>
            <w:hideMark/>
          </w:tcPr>
          <w:p w14:paraId="137691CB"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Sig. under FDR</w:t>
            </w:r>
          </w:p>
        </w:tc>
        <w:tc>
          <w:tcPr>
            <w:tcW w:w="1600" w:type="dxa"/>
            <w:tcBorders>
              <w:top w:val="nil"/>
              <w:left w:val="nil"/>
              <w:bottom w:val="nil"/>
              <w:right w:val="nil"/>
            </w:tcBorders>
            <w:noWrap/>
            <w:vAlign w:val="bottom"/>
            <w:hideMark/>
          </w:tcPr>
          <w:p w14:paraId="46C3CA5A"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Fails</w:t>
            </w:r>
          </w:p>
        </w:tc>
      </w:tr>
      <w:tr w:rsidR="00233DCF" w:rsidRPr="00233DCF" w14:paraId="60991CA7" w14:textId="77777777" w:rsidTr="00233DCF">
        <w:trPr>
          <w:trHeight w:val="300"/>
        </w:trPr>
        <w:tc>
          <w:tcPr>
            <w:tcW w:w="960" w:type="dxa"/>
            <w:tcBorders>
              <w:top w:val="nil"/>
              <w:left w:val="nil"/>
              <w:bottom w:val="nil"/>
              <w:right w:val="nil"/>
            </w:tcBorders>
            <w:shd w:val="clear" w:color="000000" w:fill="FFFF00"/>
            <w:noWrap/>
            <w:vAlign w:val="bottom"/>
            <w:hideMark/>
          </w:tcPr>
          <w:p w14:paraId="2C23D295"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202 =&gt;</w:t>
            </w:r>
          </w:p>
        </w:tc>
        <w:tc>
          <w:tcPr>
            <w:tcW w:w="820" w:type="dxa"/>
            <w:tcBorders>
              <w:top w:val="nil"/>
              <w:left w:val="nil"/>
              <w:bottom w:val="nil"/>
              <w:right w:val="nil"/>
            </w:tcBorders>
            <w:shd w:val="clear" w:color="000000" w:fill="FFFF00"/>
            <w:noWrap/>
            <w:vAlign w:val="bottom"/>
            <w:hideMark/>
          </w:tcPr>
          <w:p w14:paraId="75527425"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102</w:t>
            </w:r>
          </w:p>
        </w:tc>
        <w:tc>
          <w:tcPr>
            <w:tcW w:w="1020" w:type="dxa"/>
            <w:tcBorders>
              <w:top w:val="nil"/>
              <w:left w:val="nil"/>
              <w:bottom w:val="nil"/>
              <w:right w:val="nil"/>
            </w:tcBorders>
            <w:shd w:val="clear" w:color="000000" w:fill="FFFF00"/>
            <w:noWrap/>
            <w:vAlign w:val="bottom"/>
            <w:hideMark/>
          </w:tcPr>
          <w:p w14:paraId="773E9D5C"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0.108</w:t>
            </w:r>
          </w:p>
        </w:tc>
        <w:tc>
          <w:tcPr>
            <w:tcW w:w="1160" w:type="dxa"/>
            <w:tcBorders>
              <w:top w:val="nil"/>
              <w:left w:val="nil"/>
              <w:bottom w:val="nil"/>
              <w:right w:val="nil"/>
            </w:tcBorders>
            <w:shd w:val="clear" w:color="000000" w:fill="FFFF00"/>
            <w:noWrap/>
            <w:vAlign w:val="bottom"/>
            <w:hideMark/>
          </w:tcPr>
          <w:p w14:paraId="3827BE3F"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0.157</w:t>
            </w:r>
          </w:p>
        </w:tc>
        <w:tc>
          <w:tcPr>
            <w:tcW w:w="860" w:type="dxa"/>
            <w:tcBorders>
              <w:top w:val="nil"/>
              <w:left w:val="nil"/>
              <w:bottom w:val="nil"/>
              <w:right w:val="nil"/>
            </w:tcBorders>
            <w:shd w:val="clear" w:color="000000" w:fill="FFFF00"/>
            <w:noWrap/>
            <w:vAlign w:val="bottom"/>
            <w:hideMark/>
          </w:tcPr>
          <w:p w14:paraId="67BA390C"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0.00662</w:t>
            </w:r>
          </w:p>
        </w:tc>
        <w:tc>
          <w:tcPr>
            <w:tcW w:w="980" w:type="dxa"/>
            <w:tcBorders>
              <w:top w:val="nil"/>
              <w:left w:val="nil"/>
              <w:bottom w:val="nil"/>
              <w:right w:val="nil"/>
            </w:tcBorders>
            <w:shd w:val="clear" w:color="000000" w:fill="FFFF00"/>
            <w:noWrap/>
            <w:vAlign w:val="bottom"/>
            <w:hideMark/>
          </w:tcPr>
          <w:p w14:paraId="6E2B6A1B"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0.00116</w:t>
            </w:r>
          </w:p>
        </w:tc>
        <w:tc>
          <w:tcPr>
            <w:tcW w:w="720" w:type="dxa"/>
            <w:tcBorders>
              <w:top w:val="nil"/>
              <w:left w:val="nil"/>
              <w:bottom w:val="nil"/>
              <w:right w:val="nil"/>
            </w:tcBorders>
            <w:shd w:val="clear" w:color="000000" w:fill="FFFF00"/>
            <w:noWrap/>
            <w:vAlign w:val="bottom"/>
            <w:hideMark/>
          </w:tcPr>
          <w:p w14:paraId="12928B77"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No</w:t>
            </w:r>
          </w:p>
        </w:tc>
        <w:tc>
          <w:tcPr>
            <w:tcW w:w="1620" w:type="dxa"/>
            <w:tcBorders>
              <w:top w:val="nil"/>
              <w:left w:val="nil"/>
              <w:bottom w:val="nil"/>
              <w:right w:val="nil"/>
            </w:tcBorders>
            <w:shd w:val="clear" w:color="000000" w:fill="FFFF00"/>
            <w:noWrap/>
            <w:vAlign w:val="bottom"/>
            <w:hideMark/>
          </w:tcPr>
          <w:p w14:paraId="1AFD1F3C"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Sig. under FDR</w:t>
            </w:r>
          </w:p>
        </w:tc>
        <w:tc>
          <w:tcPr>
            <w:tcW w:w="1600" w:type="dxa"/>
            <w:tcBorders>
              <w:top w:val="nil"/>
              <w:left w:val="nil"/>
              <w:bottom w:val="nil"/>
              <w:right w:val="nil"/>
            </w:tcBorders>
            <w:shd w:val="clear" w:color="000000" w:fill="FFFF00"/>
            <w:noWrap/>
            <w:vAlign w:val="bottom"/>
            <w:hideMark/>
          </w:tcPr>
          <w:p w14:paraId="7BA413D0"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Sig. under FDR</w:t>
            </w:r>
          </w:p>
        </w:tc>
      </w:tr>
      <w:tr w:rsidR="00233DCF" w:rsidRPr="00233DCF" w14:paraId="7911145B" w14:textId="77777777" w:rsidTr="00233DCF">
        <w:trPr>
          <w:trHeight w:val="300"/>
        </w:trPr>
        <w:tc>
          <w:tcPr>
            <w:tcW w:w="960" w:type="dxa"/>
            <w:tcBorders>
              <w:top w:val="nil"/>
              <w:left w:val="nil"/>
              <w:bottom w:val="nil"/>
              <w:right w:val="nil"/>
            </w:tcBorders>
            <w:noWrap/>
            <w:vAlign w:val="bottom"/>
            <w:hideMark/>
          </w:tcPr>
          <w:p w14:paraId="6CED29E0"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120 =&gt;</w:t>
            </w:r>
          </w:p>
        </w:tc>
        <w:tc>
          <w:tcPr>
            <w:tcW w:w="820" w:type="dxa"/>
            <w:tcBorders>
              <w:top w:val="nil"/>
              <w:left w:val="nil"/>
              <w:bottom w:val="nil"/>
              <w:right w:val="nil"/>
            </w:tcBorders>
            <w:noWrap/>
            <w:vAlign w:val="bottom"/>
            <w:hideMark/>
          </w:tcPr>
          <w:p w14:paraId="616C7633"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022</w:t>
            </w:r>
          </w:p>
        </w:tc>
        <w:tc>
          <w:tcPr>
            <w:tcW w:w="1020" w:type="dxa"/>
            <w:tcBorders>
              <w:top w:val="nil"/>
              <w:left w:val="nil"/>
              <w:bottom w:val="nil"/>
              <w:right w:val="nil"/>
            </w:tcBorders>
            <w:noWrap/>
            <w:vAlign w:val="bottom"/>
            <w:hideMark/>
          </w:tcPr>
          <w:p w14:paraId="18FF7E3D"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0.183</w:t>
            </w:r>
          </w:p>
        </w:tc>
        <w:tc>
          <w:tcPr>
            <w:tcW w:w="1160" w:type="dxa"/>
            <w:tcBorders>
              <w:top w:val="nil"/>
              <w:left w:val="nil"/>
              <w:bottom w:val="nil"/>
              <w:right w:val="nil"/>
            </w:tcBorders>
            <w:noWrap/>
            <w:vAlign w:val="bottom"/>
            <w:hideMark/>
          </w:tcPr>
          <w:p w14:paraId="1C9A995E"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0.201</w:t>
            </w:r>
          </w:p>
        </w:tc>
        <w:tc>
          <w:tcPr>
            <w:tcW w:w="860" w:type="dxa"/>
            <w:tcBorders>
              <w:top w:val="nil"/>
              <w:left w:val="nil"/>
              <w:bottom w:val="nil"/>
              <w:right w:val="nil"/>
            </w:tcBorders>
            <w:noWrap/>
            <w:vAlign w:val="bottom"/>
            <w:hideMark/>
          </w:tcPr>
          <w:p w14:paraId="71FA6F41"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0.01113</w:t>
            </w:r>
          </w:p>
        </w:tc>
        <w:tc>
          <w:tcPr>
            <w:tcW w:w="980" w:type="dxa"/>
            <w:tcBorders>
              <w:top w:val="nil"/>
              <w:left w:val="nil"/>
              <w:bottom w:val="nil"/>
              <w:right w:val="nil"/>
            </w:tcBorders>
            <w:noWrap/>
            <w:vAlign w:val="bottom"/>
            <w:hideMark/>
          </w:tcPr>
          <w:p w14:paraId="2F8B1516"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0.03709</w:t>
            </w:r>
          </w:p>
        </w:tc>
        <w:tc>
          <w:tcPr>
            <w:tcW w:w="720" w:type="dxa"/>
            <w:tcBorders>
              <w:top w:val="nil"/>
              <w:left w:val="nil"/>
              <w:bottom w:val="nil"/>
              <w:right w:val="nil"/>
            </w:tcBorders>
            <w:noWrap/>
            <w:vAlign w:val="bottom"/>
            <w:hideMark/>
          </w:tcPr>
          <w:p w14:paraId="05B4CC3B"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Yes</w:t>
            </w:r>
          </w:p>
        </w:tc>
        <w:tc>
          <w:tcPr>
            <w:tcW w:w="1620" w:type="dxa"/>
            <w:tcBorders>
              <w:top w:val="nil"/>
              <w:left w:val="nil"/>
              <w:bottom w:val="nil"/>
              <w:right w:val="nil"/>
            </w:tcBorders>
            <w:noWrap/>
            <w:vAlign w:val="bottom"/>
            <w:hideMark/>
          </w:tcPr>
          <w:p w14:paraId="040BA1BE"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Sig. under FDR</w:t>
            </w:r>
          </w:p>
        </w:tc>
        <w:tc>
          <w:tcPr>
            <w:tcW w:w="1600" w:type="dxa"/>
            <w:tcBorders>
              <w:top w:val="nil"/>
              <w:left w:val="nil"/>
              <w:bottom w:val="nil"/>
              <w:right w:val="nil"/>
            </w:tcBorders>
            <w:noWrap/>
            <w:vAlign w:val="bottom"/>
            <w:hideMark/>
          </w:tcPr>
          <w:p w14:paraId="4D48B33D"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Fails</w:t>
            </w:r>
          </w:p>
        </w:tc>
      </w:tr>
      <w:tr w:rsidR="00233DCF" w:rsidRPr="00233DCF" w14:paraId="1704E413" w14:textId="77777777" w:rsidTr="00233DCF">
        <w:trPr>
          <w:trHeight w:val="300"/>
        </w:trPr>
        <w:tc>
          <w:tcPr>
            <w:tcW w:w="960" w:type="dxa"/>
            <w:tcBorders>
              <w:top w:val="nil"/>
              <w:left w:val="nil"/>
              <w:bottom w:val="nil"/>
              <w:right w:val="nil"/>
            </w:tcBorders>
            <w:noWrap/>
            <w:vAlign w:val="bottom"/>
            <w:hideMark/>
          </w:tcPr>
          <w:p w14:paraId="1F46E82A"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021 =&gt;</w:t>
            </w:r>
          </w:p>
        </w:tc>
        <w:tc>
          <w:tcPr>
            <w:tcW w:w="820" w:type="dxa"/>
            <w:tcBorders>
              <w:top w:val="nil"/>
              <w:left w:val="nil"/>
              <w:bottom w:val="nil"/>
              <w:right w:val="nil"/>
            </w:tcBorders>
            <w:noWrap/>
            <w:vAlign w:val="bottom"/>
            <w:hideMark/>
          </w:tcPr>
          <w:p w14:paraId="7E454588"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221</w:t>
            </w:r>
          </w:p>
        </w:tc>
        <w:tc>
          <w:tcPr>
            <w:tcW w:w="1020" w:type="dxa"/>
            <w:tcBorders>
              <w:top w:val="nil"/>
              <w:left w:val="nil"/>
              <w:bottom w:val="nil"/>
              <w:right w:val="nil"/>
            </w:tcBorders>
            <w:noWrap/>
            <w:vAlign w:val="bottom"/>
            <w:hideMark/>
          </w:tcPr>
          <w:p w14:paraId="42896E0A"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0.060</w:t>
            </w:r>
          </w:p>
        </w:tc>
        <w:tc>
          <w:tcPr>
            <w:tcW w:w="1160" w:type="dxa"/>
            <w:tcBorders>
              <w:top w:val="nil"/>
              <w:left w:val="nil"/>
              <w:bottom w:val="nil"/>
              <w:right w:val="nil"/>
            </w:tcBorders>
            <w:noWrap/>
            <w:vAlign w:val="bottom"/>
            <w:hideMark/>
          </w:tcPr>
          <w:p w14:paraId="2D4F4462"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0.100</w:t>
            </w:r>
          </w:p>
        </w:tc>
        <w:tc>
          <w:tcPr>
            <w:tcW w:w="860" w:type="dxa"/>
            <w:tcBorders>
              <w:top w:val="nil"/>
              <w:left w:val="nil"/>
              <w:bottom w:val="nil"/>
              <w:right w:val="nil"/>
            </w:tcBorders>
            <w:noWrap/>
            <w:vAlign w:val="bottom"/>
            <w:hideMark/>
          </w:tcPr>
          <w:p w14:paraId="54FF39C5"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0.01183</w:t>
            </w:r>
          </w:p>
        </w:tc>
        <w:tc>
          <w:tcPr>
            <w:tcW w:w="980" w:type="dxa"/>
            <w:tcBorders>
              <w:top w:val="nil"/>
              <w:left w:val="nil"/>
              <w:bottom w:val="nil"/>
              <w:right w:val="nil"/>
            </w:tcBorders>
            <w:noWrap/>
            <w:vAlign w:val="bottom"/>
            <w:hideMark/>
          </w:tcPr>
          <w:p w14:paraId="5E58100F"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0.00126</w:t>
            </w:r>
          </w:p>
        </w:tc>
        <w:tc>
          <w:tcPr>
            <w:tcW w:w="720" w:type="dxa"/>
            <w:tcBorders>
              <w:top w:val="nil"/>
              <w:left w:val="nil"/>
              <w:bottom w:val="nil"/>
              <w:right w:val="nil"/>
            </w:tcBorders>
            <w:noWrap/>
            <w:vAlign w:val="bottom"/>
            <w:hideMark/>
          </w:tcPr>
          <w:p w14:paraId="736CF2F4"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Yes</w:t>
            </w:r>
          </w:p>
        </w:tc>
        <w:tc>
          <w:tcPr>
            <w:tcW w:w="1620" w:type="dxa"/>
            <w:tcBorders>
              <w:top w:val="nil"/>
              <w:left w:val="nil"/>
              <w:bottom w:val="nil"/>
              <w:right w:val="nil"/>
            </w:tcBorders>
            <w:noWrap/>
            <w:vAlign w:val="bottom"/>
            <w:hideMark/>
          </w:tcPr>
          <w:p w14:paraId="35B15CDF"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Sig. under FDR</w:t>
            </w:r>
          </w:p>
        </w:tc>
        <w:tc>
          <w:tcPr>
            <w:tcW w:w="1600" w:type="dxa"/>
            <w:tcBorders>
              <w:top w:val="nil"/>
              <w:left w:val="nil"/>
              <w:bottom w:val="nil"/>
              <w:right w:val="nil"/>
            </w:tcBorders>
            <w:noWrap/>
            <w:vAlign w:val="bottom"/>
            <w:hideMark/>
          </w:tcPr>
          <w:p w14:paraId="7044B5F1"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Sig. under FDR</w:t>
            </w:r>
          </w:p>
        </w:tc>
      </w:tr>
      <w:tr w:rsidR="00233DCF" w:rsidRPr="00233DCF" w14:paraId="408369AA" w14:textId="77777777" w:rsidTr="00233DCF">
        <w:trPr>
          <w:trHeight w:val="300"/>
        </w:trPr>
        <w:tc>
          <w:tcPr>
            <w:tcW w:w="960" w:type="dxa"/>
            <w:tcBorders>
              <w:top w:val="nil"/>
              <w:left w:val="nil"/>
              <w:bottom w:val="nil"/>
              <w:right w:val="nil"/>
            </w:tcBorders>
            <w:noWrap/>
            <w:vAlign w:val="bottom"/>
            <w:hideMark/>
          </w:tcPr>
          <w:p w14:paraId="31AE7AC1"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121 =&gt;</w:t>
            </w:r>
          </w:p>
        </w:tc>
        <w:tc>
          <w:tcPr>
            <w:tcW w:w="820" w:type="dxa"/>
            <w:tcBorders>
              <w:top w:val="nil"/>
              <w:left w:val="nil"/>
              <w:bottom w:val="nil"/>
              <w:right w:val="nil"/>
            </w:tcBorders>
            <w:noWrap/>
            <w:vAlign w:val="bottom"/>
            <w:hideMark/>
          </w:tcPr>
          <w:p w14:paraId="0DA80D64"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122</w:t>
            </w:r>
          </w:p>
        </w:tc>
        <w:tc>
          <w:tcPr>
            <w:tcW w:w="1020" w:type="dxa"/>
            <w:tcBorders>
              <w:top w:val="nil"/>
              <w:left w:val="nil"/>
              <w:bottom w:val="nil"/>
              <w:right w:val="nil"/>
            </w:tcBorders>
            <w:noWrap/>
            <w:vAlign w:val="bottom"/>
            <w:hideMark/>
          </w:tcPr>
          <w:p w14:paraId="03166F8D"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0.139</w:t>
            </w:r>
          </w:p>
        </w:tc>
        <w:tc>
          <w:tcPr>
            <w:tcW w:w="1160" w:type="dxa"/>
            <w:tcBorders>
              <w:top w:val="nil"/>
              <w:left w:val="nil"/>
              <w:bottom w:val="nil"/>
              <w:right w:val="nil"/>
            </w:tcBorders>
            <w:noWrap/>
            <w:vAlign w:val="bottom"/>
            <w:hideMark/>
          </w:tcPr>
          <w:p w14:paraId="0EC22CDF"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0.178</w:t>
            </w:r>
          </w:p>
        </w:tc>
        <w:tc>
          <w:tcPr>
            <w:tcW w:w="860" w:type="dxa"/>
            <w:tcBorders>
              <w:top w:val="nil"/>
              <w:left w:val="nil"/>
              <w:bottom w:val="nil"/>
              <w:right w:val="nil"/>
            </w:tcBorders>
            <w:noWrap/>
            <w:vAlign w:val="bottom"/>
            <w:hideMark/>
          </w:tcPr>
          <w:p w14:paraId="4A4026C7"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0.01681</w:t>
            </w:r>
          </w:p>
        </w:tc>
        <w:tc>
          <w:tcPr>
            <w:tcW w:w="980" w:type="dxa"/>
            <w:tcBorders>
              <w:top w:val="nil"/>
              <w:left w:val="nil"/>
              <w:bottom w:val="nil"/>
              <w:right w:val="nil"/>
            </w:tcBorders>
            <w:noWrap/>
            <w:vAlign w:val="bottom"/>
            <w:hideMark/>
          </w:tcPr>
          <w:p w14:paraId="1A1C80E1"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0.01518</w:t>
            </w:r>
          </w:p>
        </w:tc>
        <w:tc>
          <w:tcPr>
            <w:tcW w:w="720" w:type="dxa"/>
            <w:tcBorders>
              <w:top w:val="nil"/>
              <w:left w:val="nil"/>
              <w:bottom w:val="nil"/>
              <w:right w:val="nil"/>
            </w:tcBorders>
            <w:noWrap/>
            <w:vAlign w:val="bottom"/>
            <w:hideMark/>
          </w:tcPr>
          <w:p w14:paraId="5288F062"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Yes</w:t>
            </w:r>
          </w:p>
        </w:tc>
        <w:tc>
          <w:tcPr>
            <w:tcW w:w="1620" w:type="dxa"/>
            <w:tcBorders>
              <w:top w:val="nil"/>
              <w:left w:val="nil"/>
              <w:bottom w:val="nil"/>
              <w:right w:val="nil"/>
            </w:tcBorders>
            <w:noWrap/>
            <w:vAlign w:val="bottom"/>
            <w:hideMark/>
          </w:tcPr>
          <w:p w14:paraId="6A7AC5BA"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Fails</w:t>
            </w:r>
          </w:p>
        </w:tc>
        <w:tc>
          <w:tcPr>
            <w:tcW w:w="1600" w:type="dxa"/>
            <w:tcBorders>
              <w:top w:val="nil"/>
              <w:left w:val="nil"/>
              <w:bottom w:val="nil"/>
              <w:right w:val="nil"/>
            </w:tcBorders>
            <w:noWrap/>
            <w:vAlign w:val="bottom"/>
            <w:hideMark/>
          </w:tcPr>
          <w:p w14:paraId="03006084"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Fails</w:t>
            </w:r>
          </w:p>
        </w:tc>
      </w:tr>
      <w:tr w:rsidR="00233DCF" w:rsidRPr="00233DCF" w14:paraId="3D20D80E" w14:textId="77777777" w:rsidTr="00233DCF">
        <w:trPr>
          <w:trHeight w:val="300"/>
        </w:trPr>
        <w:tc>
          <w:tcPr>
            <w:tcW w:w="960" w:type="dxa"/>
            <w:tcBorders>
              <w:top w:val="nil"/>
              <w:left w:val="nil"/>
              <w:bottom w:val="nil"/>
              <w:right w:val="nil"/>
            </w:tcBorders>
            <w:shd w:val="clear" w:color="000000" w:fill="FFFF00"/>
            <w:noWrap/>
            <w:vAlign w:val="bottom"/>
            <w:hideMark/>
          </w:tcPr>
          <w:p w14:paraId="0C798411"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102 =&gt;</w:t>
            </w:r>
          </w:p>
        </w:tc>
        <w:tc>
          <w:tcPr>
            <w:tcW w:w="820" w:type="dxa"/>
            <w:tcBorders>
              <w:top w:val="nil"/>
              <w:left w:val="nil"/>
              <w:bottom w:val="nil"/>
              <w:right w:val="nil"/>
            </w:tcBorders>
            <w:shd w:val="clear" w:color="000000" w:fill="FFFF00"/>
            <w:noWrap/>
            <w:vAlign w:val="bottom"/>
            <w:hideMark/>
          </w:tcPr>
          <w:p w14:paraId="2CCC3A79"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202</w:t>
            </w:r>
          </w:p>
        </w:tc>
        <w:tc>
          <w:tcPr>
            <w:tcW w:w="1020" w:type="dxa"/>
            <w:tcBorders>
              <w:top w:val="nil"/>
              <w:left w:val="nil"/>
              <w:bottom w:val="nil"/>
              <w:right w:val="nil"/>
            </w:tcBorders>
            <w:shd w:val="clear" w:color="000000" w:fill="FFFF00"/>
            <w:noWrap/>
            <w:vAlign w:val="bottom"/>
            <w:hideMark/>
          </w:tcPr>
          <w:p w14:paraId="31EBF393"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0.077</w:t>
            </w:r>
          </w:p>
        </w:tc>
        <w:tc>
          <w:tcPr>
            <w:tcW w:w="1160" w:type="dxa"/>
            <w:tcBorders>
              <w:top w:val="nil"/>
              <w:left w:val="nil"/>
              <w:bottom w:val="nil"/>
              <w:right w:val="nil"/>
            </w:tcBorders>
            <w:shd w:val="clear" w:color="000000" w:fill="FFFF00"/>
            <w:noWrap/>
            <w:vAlign w:val="bottom"/>
            <w:hideMark/>
          </w:tcPr>
          <w:p w14:paraId="43EC0A0C"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0.148</w:t>
            </w:r>
          </w:p>
        </w:tc>
        <w:tc>
          <w:tcPr>
            <w:tcW w:w="860" w:type="dxa"/>
            <w:tcBorders>
              <w:top w:val="nil"/>
              <w:left w:val="nil"/>
              <w:bottom w:val="nil"/>
              <w:right w:val="nil"/>
            </w:tcBorders>
            <w:shd w:val="clear" w:color="000000" w:fill="FFFF00"/>
            <w:noWrap/>
            <w:vAlign w:val="bottom"/>
            <w:hideMark/>
          </w:tcPr>
          <w:p w14:paraId="514A3850"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0.01958</w:t>
            </w:r>
          </w:p>
        </w:tc>
        <w:tc>
          <w:tcPr>
            <w:tcW w:w="980" w:type="dxa"/>
            <w:tcBorders>
              <w:top w:val="nil"/>
              <w:left w:val="nil"/>
              <w:bottom w:val="nil"/>
              <w:right w:val="nil"/>
            </w:tcBorders>
            <w:shd w:val="clear" w:color="000000" w:fill="FFFF00"/>
            <w:noWrap/>
            <w:vAlign w:val="bottom"/>
            <w:hideMark/>
          </w:tcPr>
          <w:p w14:paraId="275F399E"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0.00015</w:t>
            </w:r>
          </w:p>
        </w:tc>
        <w:tc>
          <w:tcPr>
            <w:tcW w:w="720" w:type="dxa"/>
            <w:tcBorders>
              <w:top w:val="nil"/>
              <w:left w:val="nil"/>
              <w:bottom w:val="nil"/>
              <w:right w:val="nil"/>
            </w:tcBorders>
            <w:shd w:val="clear" w:color="000000" w:fill="FFFF00"/>
            <w:noWrap/>
            <w:vAlign w:val="bottom"/>
            <w:hideMark/>
          </w:tcPr>
          <w:p w14:paraId="0B32331A"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Yes</w:t>
            </w:r>
          </w:p>
        </w:tc>
        <w:tc>
          <w:tcPr>
            <w:tcW w:w="1620" w:type="dxa"/>
            <w:tcBorders>
              <w:top w:val="nil"/>
              <w:left w:val="nil"/>
              <w:bottom w:val="nil"/>
              <w:right w:val="nil"/>
            </w:tcBorders>
            <w:shd w:val="clear" w:color="000000" w:fill="FFFF00"/>
            <w:noWrap/>
            <w:vAlign w:val="bottom"/>
            <w:hideMark/>
          </w:tcPr>
          <w:p w14:paraId="1FDF119D"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Fails</w:t>
            </w:r>
          </w:p>
        </w:tc>
        <w:tc>
          <w:tcPr>
            <w:tcW w:w="1600" w:type="dxa"/>
            <w:tcBorders>
              <w:top w:val="nil"/>
              <w:left w:val="nil"/>
              <w:bottom w:val="nil"/>
              <w:right w:val="nil"/>
            </w:tcBorders>
            <w:shd w:val="clear" w:color="000000" w:fill="FFFF00"/>
            <w:noWrap/>
            <w:vAlign w:val="bottom"/>
            <w:hideMark/>
          </w:tcPr>
          <w:p w14:paraId="4BB36B1B"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Robust Core</w:t>
            </w:r>
          </w:p>
        </w:tc>
      </w:tr>
      <w:tr w:rsidR="00233DCF" w:rsidRPr="00233DCF" w14:paraId="1F409184" w14:textId="77777777" w:rsidTr="00233DCF">
        <w:trPr>
          <w:trHeight w:val="300"/>
        </w:trPr>
        <w:tc>
          <w:tcPr>
            <w:tcW w:w="960" w:type="dxa"/>
            <w:tcBorders>
              <w:top w:val="nil"/>
              <w:left w:val="nil"/>
              <w:bottom w:val="nil"/>
              <w:right w:val="nil"/>
            </w:tcBorders>
            <w:noWrap/>
            <w:vAlign w:val="bottom"/>
            <w:hideMark/>
          </w:tcPr>
          <w:p w14:paraId="300D647C"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020 =&gt;</w:t>
            </w:r>
          </w:p>
        </w:tc>
        <w:tc>
          <w:tcPr>
            <w:tcW w:w="820" w:type="dxa"/>
            <w:tcBorders>
              <w:top w:val="nil"/>
              <w:left w:val="nil"/>
              <w:bottom w:val="nil"/>
              <w:right w:val="nil"/>
            </w:tcBorders>
            <w:noWrap/>
            <w:vAlign w:val="bottom"/>
            <w:hideMark/>
          </w:tcPr>
          <w:p w14:paraId="0CD4A2E5"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022</w:t>
            </w:r>
          </w:p>
        </w:tc>
        <w:tc>
          <w:tcPr>
            <w:tcW w:w="1020" w:type="dxa"/>
            <w:tcBorders>
              <w:top w:val="nil"/>
              <w:left w:val="nil"/>
              <w:bottom w:val="nil"/>
              <w:right w:val="nil"/>
            </w:tcBorders>
            <w:noWrap/>
            <w:vAlign w:val="bottom"/>
            <w:hideMark/>
          </w:tcPr>
          <w:p w14:paraId="5479E75C"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0.137</w:t>
            </w:r>
          </w:p>
        </w:tc>
        <w:tc>
          <w:tcPr>
            <w:tcW w:w="1160" w:type="dxa"/>
            <w:tcBorders>
              <w:top w:val="nil"/>
              <w:left w:val="nil"/>
              <w:bottom w:val="nil"/>
              <w:right w:val="nil"/>
            </w:tcBorders>
            <w:noWrap/>
            <w:vAlign w:val="bottom"/>
            <w:hideMark/>
          </w:tcPr>
          <w:p w14:paraId="63AD88CA"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0.133</w:t>
            </w:r>
          </w:p>
        </w:tc>
        <w:tc>
          <w:tcPr>
            <w:tcW w:w="860" w:type="dxa"/>
            <w:tcBorders>
              <w:top w:val="nil"/>
              <w:left w:val="nil"/>
              <w:bottom w:val="nil"/>
              <w:right w:val="nil"/>
            </w:tcBorders>
            <w:noWrap/>
            <w:vAlign w:val="bottom"/>
            <w:hideMark/>
          </w:tcPr>
          <w:p w14:paraId="13659B75"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0.01989</w:t>
            </w:r>
          </w:p>
        </w:tc>
        <w:tc>
          <w:tcPr>
            <w:tcW w:w="980" w:type="dxa"/>
            <w:tcBorders>
              <w:top w:val="nil"/>
              <w:left w:val="nil"/>
              <w:bottom w:val="nil"/>
              <w:right w:val="nil"/>
            </w:tcBorders>
            <w:noWrap/>
            <w:vAlign w:val="bottom"/>
            <w:hideMark/>
          </w:tcPr>
          <w:p w14:paraId="3C098476"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0.09340</w:t>
            </w:r>
          </w:p>
        </w:tc>
        <w:tc>
          <w:tcPr>
            <w:tcW w:w="720" w:type="dxa"/>
            <w:tcBorders>
              <w:top w:val="nil"/>
              <w:left w:val="nil"/>
              <w:bottom w:val="nil"/>
              <w:right w:val="nil"/>
            </w:tcBorders>
            <w:noWrap/>
            <w:vAlign w:val="bottom"/>
            <w:hideMark/>
          </w:tcPr>
          <w:p w14:paraId="542B7C1B"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Yes</w:t>
            </w:r>
          </w:p>
        </w:tc>
        <w:tc>
          <w:tcPr>
            <w:tcW w:w="1620" w:type="dxa"/>
            <w:tcBorders>
              <w:top w:val="nil"/>
              <w:left w:val="nil"/>
              <w:bottom w:val="nil"/>
              <w:right w:val="nil"/>
            </w:tcBorders>
            <w:noWrap/>
            <w:vAlign w:val="bottom"/>
            <w:hideMark/>
          </w:tcPr>
          <w:p w14:paraId="2344FE76"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Fails</w:t>
            </w:r>
          </w:p>
        </w:tc>
        <w:tc>
          <w:tcPr>
            <w:tcW w:w="1600" w:type="dxa"/>
            <w:tcBorders>
              <w:top w:val="nil"/>
              <w:left w:val="nil"/>
              <w:bottom w:val="nil"/>
              <w:right w:val="nil"/>
            </w:tcBorders>
            <w:noWrap/>
            <w:vAlign w:val="bottom"/>
            <w:hideMark/>
          </w:tcPr>
          <w:p w14:paraId="28E2C8DD"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Fails</w:t>
            </w:r>
          </w:p>
        </w:tc>
      </w:tr>
      <w:tr w:rsidR="00233DCF" w:rsidRPr="00233DCF" w14:paraId="1D068BC4" w14:textId="77777777" w:rsidTr="00233DCF">
        <w:trPr>
          <w:trHeight w:val="300"/>
        </w:trPr>
        <w:tc>
          <w:tcPr>
            <w:tcW w:w="960" w:type="dxa"/>
            <w:tcBorders>
              <w:top w:val="nil"/>
              <w:left w:val="nil"/>
              <w:bottom w:val="nil"/>
              <w:right w:val="nil"/>
            </w:tcBorders>
            <w:noWrap/>
            <w:vAlign w:val="bottom"/>
            <w:hideMark/>
          </w:tcPr>
          <w:p w14:paraId="0B1B3685"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120 =&gt;</w:t>
            </w:r>
          </w:p>
        </w:tc>
        <w:tc>
          <w:tcPr>
            <w:tcW w:w="820" w:type="dxa"/>
            <w:tcBorders>
              <w:top w:val="nil"/>
              <w:left w:val="nil"/>
              <w:bottom w:val="nil"/>
              <w:right w:val="nil"/>
            </w:tcBorders>
            <w:noWrap/>
            <w:vAlign w:val="bottom"/>
            <w:hideMark/>
          </w:tcPr>
          <w:p w14:paraId="2E073D52"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221</w:t>
            </w:r>
          </w:p>
        </w:tc>
        <w:tc>
          <w:tcPr>
            <w:tcW w:w="1020" w:type="dxa"/>
            <w:tcBorders>
              <w:top w:val="nil"/>
              <w:left w:val="nil"/>
              <w:bottom w:val="nil"/>
              <w:right w:val="nil"/>
            </w:tcBorders>
            <w:noWrap/>
            <w:vAlign w:val="bottom"/>
            <w:hideMark/>
          </w:tcPr>
          <w:p w14:paraId="66C844AF"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0.076</w:t>
            </w:r>
          </w:p>
        </w:tc>
        <w:tc>
          <w:tcPr>
            <w:tcW w:w="1160" w:type="dxa"/>
            <w:tcBorders>
              <w:top w:val="nil"/>
              <w:left w:val="nil"/>
              <w:bottom w:val="nil"/>
              <w:right w:val="nil"/>
            </w:tcBorders>
            <w:noWrap/>
            <w:vAlign w:val="bottom"/>
            <w:hideMark/>
          </w:tcPr>
          <w:p w14:paraId="2BFFDBDF"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0.101</w:t>
            </w:r>
          </w:p>
        </w:tc>
        <w:tc>
          <w:tcPr>
            <w:tcW w:w="860" w:type="dxa"/>
            <w:tcBorders>
              <w:top w:val="nil"/>
              <w:left w:val="nil"/>
              <w:bottom w:val="nil"/>
              <w:right w:val="nil"/>
            </w:tcBorders>
            <w:noWrap/>
            <w:vAlign w:val="bottom"/>
            <w:hideMark/>
          </w:tcPr>
          <w:p w14:paraId="11A2BBE0"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0.02419</w:t>
            </w:r>
          </w:p>
        </w:tc>
        <w:tc>
          <w:tcPr>
            <w:tcW w:w="980" w:type="dxa"/>
            <w:tcBorders>
              <w:top w:val="nil"/>
              <w:left w:val="nil"/>
              <w:bottom w:val="nil"/>
              <w:right w:val="nil"/>
            </w:tcBorders>
            <w:noWrap/>
            <w:vAlign w:val="bottom"/>
            <w:hideMark/>
          </w:tcPr>
          <w:p w14:paraId="2B0E4D41"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0.01930</w:t>
            </w:r>
          </w:p>
        </w:tc>
        <w:tc>
          <w:tcPr>
            <w:tcW w:w="720" w:type="dxa"/>
            <w:tcBorders>
              <w:top w:val="nil"/>
              <w:left w:val="nil"/>
              <w:bottom w:val="nil"/>
              <w:right w:val="nil"/>
            </w:tcBorders>
            <w:noWrap/>
            <w:vAlign w:val="bottom"/>
            <w:hideMark/>
          </w:tcPr>
          <w:p w14:paraId="5EB67806"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Yes</w:t>
            </w:r>
          </w:p>
        </w:tc>
        <w:tc>
          <w:tcPr>
            <w:tcW w:w="1620" w:type="dxa"/>
            <w:tcBorders>
              <w:top w:val="nil"/>
              <w:left w:val="nil"/>
              <w:bottom w:val="nil"/>
              <w:right w:val="nil"/>
            </w:tcBorders>
            <w:noWrap/>
            <w:vAlign w:val="bottom"/>
            <w:hideMark/>
          </w:tcPr>
          <w:p w14:paraId="19276DFA"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Fails</w:t>
            </w:r>
          </w:p>
        </w:tc>
        <w:tc>
          <w:tcPr>
            <w:tcW w:w="1600" w:type="dxa"/>
            <w:tcBorders>
              <w:top w:val="nil"/>
              <w:left w:val="nil"/>
              <w:bottom w:val="nil"/>
              <w:right w:val="nil"/>
            </w:tcBorders>
            <w:noWrap/>
            <w:vAlign w:val="bottom"/>
            <w:hideMark/>
          </w:tcPr>
          <w:p w14:paraId="18B2C399"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Fails</w:t>
            </w:r>
          </w:p>
        </w:tc>
      </w:tr>
      <w:tr w:rsidR="00233DCF" w:rsidRPr="00233DCF" w14:paraId="67B431A4" w14:textId="77777777" w:rsidTr="00233DCF">
        <w:trPr>
          <w:trHeight w:val="300"/>
        </w:trPr>
        <w:tc>
          <w:tcPr>
            <w:tcW w:w="960" w:type="dxa"/>
            <w:tcBorders>
              <w:top w:val="nil"/>
              <w:left w:val="nil"/>
              <w:bottom w:val="nil"/>
              <w:right w:val="nil"/>
            </w:tcBorders>
            <w:noWrap/>
            <w:vAlign w:val="bottom"/>
            <w:hideMark/>
          </w:tcPr>
          <w:p w14:paraId="1F2CA71C"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022 =&gt;</w:t>
            </w:r>
          </w:p>
        </w:tc>
        <w:tc>
          <w:tcPr>
            <w:tcW w:w="820" w:type="dxa"/>
            <w:tcBorders>
              <w:top w:val="nil"/>
              <w:left w:val="nil"/>
              <w:bottom w:val="nil"/>
              <w:right w:val="nil"/>
            </w:tcBorders>
            <w:noWrap/>
            <w:vAlign w:val="bottom"/>
            <w:hideMark/>
          </w:tcPr>
          <w:p w14:paraId="0F13ACE6"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222</w:t>
            </w:r>
          </w:p>
        </w:tc>
        <w:tc>
          <w:tcPr>
            <w:tcW w:w="1020" w:type="dxa"/>
            <w:tcBorders>
              <w:top w:val="nil"/>
              <w:left w:val="nil"/>
              <w:bottom w:val="nil"/>
              <w:right w:val="nil"/>
            </w:tcBorders>
            <w:noWrap/>
            <w:vAlign w:val="bottom"/>
            <w:hideMark/>
          </w:tcPr>
          <w:p w14:paraId="00DCB13A"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0.043</w:t>
            </w:r>
          </w:p>
        </w:tc>
        <w:tc>
          <w:tcPr>
            <w:tcW w:w="1160" w:type="dxa"/>
            <w:tcBorders>
              <w:top w:val="nil"/>
              <w:left w:val="nil"/>
              <w:bottom w:val="nil"/>
              <w:right w:val="nil"/>
            </w:tcBorders>
            <w:noWrap/>
            <w:vAlign w:val="bottom"/>
            <w:hideMark/>
          </w:tcPr>
          <w:p w14:paraId="2D879DFE"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0.067</w:t>
            </w:r>
          </w:p>
        </w:tc>
        <w:tc>
          <w:tcPr>
            <w:tcW w:w="860" w:type="dxa"/>
            <w:tcBorders>
              <w:top w:val="nil"/>
              <w:left w:val="nil"/>
              <w:bottom w:val="nil"/>
              <w:right w:val="nil"/>
            </w:tcBorders>
            <w:noWrap/>
            <w:vAlign w:val="bottom"/>
            <w:hideMark/>
          </w:tcPr>
          <w:p w14:paraId="46C4DB49"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0.02574</w:t>
            </w:r>
          </w:p>
        </w:tc>
        <w:tc>
          <w:tcPr>
            <w:tcW w:w="980" w:type="dxa"/>
            <w:tcBorders>
              <w:top w:val="nil"/>
              <w:left w:val="nil"/>
              <w:bottom w:val="nil"/>
              <w:right w:val="nil"/>
            </w:tcBorders>
            <w:noWrap/>
            <w:vAlign w:val="bottom"/>
            <w:hideMark/>
          </w:tcPr>
          <w:p w14:paraId="091D65D6" w14:textId="77777777" w:rsidR="00233DCF" w:rsidRPr="00233DCF" w:rsidRDefault="00233DCF" w:rsidP="00233DCF">
            <w:pPr>
              <w:spacing w:after="0" w:line="240" w:lineRule="auto"/>
              <w:jc w:val="right"/>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0.00603</w:t>
            </w:r>
          </w:p>
        </w:tc>
        <w:tc>
          <w:tcPr>
            <w:tcW w:w="720" w:type="dxa"/>
            <w:tcBorders>
              <w:top w:val="nil"/>
              <w:left w:val="nil"/>
              <w:bottom w:val="nil"/>
              <w:right w:val="nil"/>
            </w:tcBorders>
            <w:noWrap/>
            <w:vAlign w:val="bottom"/>
            <w:hideMark/>
          </w:tcPr>
          <w:p w14:paraId="47D88A86"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Yes</w:t>
            </w:r>
          </w:p>
        </w:tc>
        <w:tc>
          <w:tcPr>
            <w:tcW w:w="1620" w:type="dxa"/>
            <w:tcBorders>
              <w:top w:val="nil"/>
              <w:left w:val="nil"/>
              <w:bottom w:val="nil"/>
              <w:right w:val="nil"/>
            </w:tcBorders>
            <w:noWrap/>
            <w:vAlign w:val="bottom"/>
            <w:hideMark/>
          </w:tcPr>
          <w:p w14:paraId="594710F8"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Fails</w:t>
            </w:r>
          </w:p>
        </w:tc>
        <w:tc>
          <w:tcPr>
            <w:tcW w:w="1600" w:type="dxa"/>
            <w:tcBorders>
              <w:top w:val="nil"/>
              <w:left w:val="nil"/>
              <w:bottom w:val="nil"/>
              <w:right w:val="nil"/>
            </w:tcBorders>
            <w:noWrap/>
            <w:vAlign w:val="bottom"/>
            <w:hideMark/>
          </w:tcPr>
          <w:p w14:paraId="1662CF37" w14:textId="77777777" w:rsidR="00233DCF" w:rsidRPr="00233DCF" w:rsidRDefault="00233DCF" w:rsidP="00233DCF">
            <w:pPr>
              <w:spacing w:after="0" w:line="240" w:lineRule="auto"/>
              <w:rPr>
                <w:rFonts w:ascii="Aptos Narrow" w:eastAsia="Times New Roman" w:hAnsi="Aptos Narrow" w:cs="Times New Roman"/>
                <w:color w:val="000000"/>
                <w:kern w:val="0"/>
                <w:sz w:val="22"/>
                <w:szCs w:val="22"/>
                <w14:ligatures w14:val="none"/>
              </w:rPr>
            </w:pPr>
            <w:r w:rsidRPr="00233DCF">
              <w:rPr>
                <w:rFonts w:ascii="Aptos Narrow" w:eastAsia="Times New Roman" w:hAnsi="Aptos Narrow" w:cs="Times New Roman"/>
                <w:color w:val="000000"/>
                <w:kern w:val="0"/>
                <w:sz w:val="22"/>
                <w:szCs w:val="22"/>
                <w14:ligatures w14:val="none"/>
              </w:rPr>
              <w:t>Sig. under FDR</w:t>
            </w:r>
          </w:p>
        </w:tc>
      </w:tr>
    </w:tbl>
    <w:p w14:paraId="11EDD6C8" w14:textId="77777777" w:rsidR="00505F41" w:rsidRDefault="00505F41"/>
    <w:p w14:paraId="382ABDA8" w14:textId="77777777" w:rsidR="00233DCF" w:rsidRPr="0035097C" w:rsidRDefault="00233DCF" w:rsidP="00233DCF">
      <w:r w:rsidRPr="0035097C">
        <w:t xml:space="preserve">Rather than asserting which model is "right" here, it is best to try to understand how and why they differ. Both are standard remedies for </w:t>
      </w:r>
      <w:proofErr w:type="spellStart"/>
      <w:r w:rsidRPr="0035097C">
        <w:t>overdispersed</w:t>
      </w:r>
      <w:proofErr w:type="spellEnd"/>
      <w:r w:rsidRPr="0035097C">
        <w:t xml:space="preserve"> counts. The quasi-Poisson approach adopted in the main study rescales the variance by a dispersion factor; the negative binomial, tested here, posits a distinct mixing distribution. The quasi-Poisson is preferred because it corrects the likelihood-ratio tests directly while leaving the Poisson mean structure — and thus the directional comparisons that carry the argument — unchanged. Mosteller and Wallace (1964) discuss using the negative binomial for disputed authorship, but the case they examine is notably different: they are not looking at documents where one author substantially copied the exact words of another.</w:t>
      </w:r>
    </w:p>
    <w:p w14:paraId="5ABA9844" w14:textId="77777777" w:rsidR="00233DCF" w:rsidRPr="0035097C" w:rsidRDefault="00233DCF" w:rsidP="00233DCF">
      <w:r w:rsidRPr="0035097C">
        <w:t xml:space="preserve">The most important difference for our purposes is this: the quasi-Poisson model penalizes all words equally in the overdispersion correction, while the negative binomial penalizes high-frequency words more harshly than low-frequency ones. This is because the negative binomial's variance grows with the square of the mean (Var = μ + α·μ²), so it discounts high-count cells specifically, whereas the quasi-Poisson applies a flat multiple (Var = </w:t>
      </w:r>
      <w:proofErr w:type="spellStart"/>
      <w:r w:rsidRPr="0035097C">
        <w:t>φ·μ</w:t>
      </w:r>
      <w:proofErr w:type="spellEnd"/>
      <w:r w:rsidRPr="0035097C">
        <w:t>) that leaves the relative weighting across frequencies unchanged. Once this is understood, the reason for the difference becomes immediately apparent.</w:t>
      </w:r>
    </w:p>
    <w:p w14:paraId="4370586C" w14:textId="77777777" w:rsidR="00233DCF" w:rsidRPr="0035097C" w:rsidRDefault="00233DCF" w:rsidP="00233DCF">
      <w:r w:rsidRPr="0035097C">
        <w:lastRenderedPageBreak/>
        <w:t xml:space="preserve">As noted in the main study, the largest contributors to the similarity between </w:t>
      </w:r>
      <w:proofErr w:type="gramStart"/>
      <w:r w:rsidRPr="0035097C">
        <w:t>category</w:t>
      </w:r>
      <w:proofErr w:type="gramEnd"/>
      <w:r w:rsidRPr="0035097C">
        <w:t xml:space="preserve"> 202 and 102 are function words. The second-person plural </w:t>
      </w:r>
      <w:proofErr w:type="spellStart"/>
      <w:r w:rsidRPr="0035097C">
        <w:rPr>
          <w:rFonts w:ascii="Arial" w:hAnsi="Arial" w:cs="Arial"/>
        </w:rPr>
        <w:t>ὑ</w:t>
      </w:r>
      <w:r w:rsidRPr="0035097C">
        <w:t>μ</w:t>
      </w:r>
      <w:r w:rsidRPr="0035097C">
        <w:rPr>
          <w:rFonts w:ascii="Arial" w:hAnsi="Arial" w:cs="Arial"/>
        </w:rPr>
        <w:t>ῖ</w:t>
      </w:r>
      <w:r w:rsidRPr="0035097C">
        <w:t>ν</w:t>
      </w:r>
      <w:proofErr w:type="spellEnd"/>
      <w:r w:rsidRPr="0035097C">
        <w:t xml:space="preserve"> is dense in both the Lukan (102) and the shared (202) double-tradition vocabulary, and the imperfect </w:t>
      </w:r>
      <w:proofErr w:type="spellStart"/>
      <w:r w:rsidRPr="0035097C">
        <w:rPr>
          <w:rFonts w:ascii="Arial" w:hAnsi="Arial" w:cs="Arial"/>
        </w:rPr>
        <w:t>ἦ</w:t>
      </w:r>
      <w:r w:rsidRPr="0035097C">
        <w:t>ν</w:t>
      </w:r>
      <w:proofErr w:type="spellEnd"/>
      <w:r w:rsidRPr="0035097C">
        <w:t xml:space="preserve">, </w:t>
      </w:r>
      <w:r w:rsidRPr="000E6ABD">
        <w:t>"was,"</w:t>
      </w:r>
      <w:r w:rsidRPr="0035097C">
        <w:t xml:space="preserve"> is conspicuously absent in 202 and low-frequency in 102. Both categories reflect the style of sayings rather than narrative. Because this similarity rests on high-frequency function words, the negative binomial — which distrusts high-count cells — pulls the comparison down, while the quasi-Poisson does not. That, and nothing more mysterious, is why this pair moves.</w:t>
      </w:r>
    </w:p>
    <w:p w14:paraId="47FCFA68" w14:textId="77777777" w:rsidR="00233DCF" w:rsidRPr="0035097C" w:rsidRDefault="00233DCF" w:rsidP="00233DCF">
      <w:r w:rsidRPr="0035097C">
        <w:t xml:space="preserve">The immediate reaction from a Farrer-hypothesis supporter might be: "That just says these are sayings, and we already knew the double tradition was sayings — this tells us nothing." But the arguments made in the main paper still apply. There is a symmetry between 102 </w:t>
      </w:r>
      <w:r w:rsidRPr="0035097C">
        <w:rPr>
          <w:rFonts w:ascii="Cambria Math" w:hAnsi="Cambria Math" w:cs="Cambria Math"/>
        </w:rPr>
        <w:t>⇒</w:t>
      </w:r>
      <w:r w:rsidRPr="0035097C">
        <w:t xml:space="preserve"> 202 and 201 </w:t>
      </w:r>
      <w:r w:rsidRPr="0035097C">
        <w:rPr>
          <w:rFonts w:ascii="Cambria Math" w:hAnsi="Cambria Math" w:cs="Cambria Math"/>
        </w:rPr>
        <w:t>⇒</w:t>
      </w:r>
      <w:r w:rsidRPr="0035097C">
        <w:t xml:space="preserve"> 202 that the Farrer hypothesis does not predict, but a shared sayings source does: if 202 is the profile of a source standing behind both gospels, it should relate to Luke's sayings vocabulary (102) and Matthew's (201) in the same way — and it does. The Farrer hypothesis, on which Luke copies Matthew, gives no reason for that symmetric source-to-both pattern; it predicts an asymmetric Matthew-to-Luke chain instead.</w:t>
      </w:r>
    </w:p>
    <w:p w14:paraId="4F1F3315" w14:textId="77777777" w:rsidR="00233DCF" w:rsidRPr="0035097C" w:rsidRDefault="00233DCF" w:rsidP="00233DCF">
      <w:r w:rsidRPr="0035097C">
        <w:t xml:space="preserve">And there is a second difficulty. On the Farrer hypothesis, Luke must actively make his material look more sayings-like — removing </w:t>
      </w:r>
      <w:r w:rsidRPr="00407FDD">
        <w:t>"was"</w:t>
      </w:r>
      <w:r w:rsidRPr="0035097C">
        <w:t xml:space="preserve"> wherever he finds it and adding "</w:t>
      </w:r>
      <w:proofErr w:type="gramStart"/>
      <w:r w:rsidRPr="0035097C">
        <w:t>you" —</w:t>
      </w:r>
      <w:proofErr w:type="gramEnd"/>
      <w:r w:rsidRPr="0035097C">
        <w:t xml:space="preserve"> </w:t>
      </w:r>
      <w:proofErr w:type="gramStart"/>
      <w:r w:rsidRPr="0035097C">
        <w:t>despite the fact that</w:t>
      </w:r>
      <w:proofErr w:type="gramEnd"/>
      <w:r w:rsidRPr="0035097C">
        <w:t xml:space="preserve"> Luke does not write this way when composing independently or when editing Mark.</w:t>
      </w:r>
      <w:r>
        <w:t xml:space="preserve"> He does not show this profile in our other synoptic categories.</w:t>
      </w:r>
      <w:r w:rsidRPr="0035097C">
        <w:t xml:space="preserve"> There is, moreover, no clear justification for calling one model's result correct and the other's incorrect: the quasi-Poisson is friendlier to function-word similarity, the negative binomial friendlier to content-word similarity. If anything, for questions of source and authorship the function-word sensitivity of the quasi-Poisson is the more appropriate, since function words — being less consciously controlled and less driven by subject matter — are the traditional discriminators in exactly this kind of analysis (Mosteller &amp; Wallace, 1964).</w:t>
      </w:r>
    </w:p>
    <w:p w14:paraId="7AF79B85" w14:textId="77777777" w:rsidR="00233DCF" w:rsidRPr="0035097C" w:rsidRDefault="00233DCF" w:rsidP="00233DCF">
      <w:r w:rsidRPr="0035097C">
        <w:t xml:space="preserve">One final point of difficulty for the Farrer hypothesis: if we look at the direction that is "reverse" for them and "forward" for the 2SH — 202 </w:t>
      </w:r>
      <w:r w:rsidRPr="0035097C">
        <w:rPr>
          <w:rFonts w:ascii="Cambria Math" w:hAnsi="Cambria Math" w:cs="Cambria Math"/>
        </w:rPr>
        <w:t>⇒</w:t>
      </w:r>
      <w:r w:rsidRPr="0035097C">
        <w:t xml:space="preserve"> 102 </w:t>
      </w:r>
      <w:r w:rsidRPr="0035097C">
        <w:rPr>
          <w:rFonts w:ascii="Aptos" w:hAnsi="Aptos" w:cs="Aptos"/>
        </w:rPr>
        <w:t>—</w:t>
      </w:r>
      <w:r w:rsidRPr="0035097C">
        <w:t xml:space="preserve"> we still see a significant result under both models. For the 2SH, category 202 is the vocabulary profile of the sayings source, expected to appear in Luke's words (and in Matthew's), and it does. The Farrer hypothesis does not explain this. So</w:t>
      </w:r>
      <w:r>
        <w:t>,</w:t>
      </w:r>
      <w:r w:rsidRPr="0035097C">
        <w:t xml:space="preserve"> one direction weakens under the negative binomial while the other holds, and the pattern of which one holds favors the source model.</w:t>
      </w:r>
    </w:p>
    <w:p w14:paraId="081636EE" w14:textId="77777777" w:rsidR="00233DCF" w:rsidRDefault="00233DCF" w:rsidP="00233DCF">
      <w:r w:rsidRPr="0035097C">
        <w:t>In conclusion, it must be acknowledged that this result is friendlier to the Farrer hypothesis than the corresponding result in the main study. That being said, taken together — the symmetric source-to-both pattern, the implausibility of Luke's selective de-narrativization, and the persistence of the source-to-Luke relationship under both models — the three-</w:t>
      </w:r>
      <w:r w:rsidRPr="0035097C">
        <w:lastRenderedPageBreak/>
        <w:t>source hypothesis still accounts for the full set of results more economically than the Farrer alternative, and remains the simplest hypothesis fully consistent with the mathematics.</w:t>
      </w:r>
    </w:p>
    <w:p w14:paraId="5D3793B7" w14:textId="77777777" w:rsidR="00233DCF" w:rsidRDefault="00233DCF"/>
    <w:sectPr w:rsidR="00233D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F41"/>
    <w:rsid w:val="000E6ABD"/>
    <w:rsid w:val="001F25C6"/>
    <w:rsid w:val="00233DCF"/>
    <w:rsid w:val="002439FC"/>
    <w:rsid w:val="0035097C"/>
    <w:rsid w:val="00407FDD"/>
    <w:rsid w:val="004716C5"/>
    <w:rsid w:val="00505F41"/>
    <w:rsid w:val="00552848"/>
    <w:rsid w:val="00670530"/>
    <w:rsid w:val="00842EB5"/>
    <w:rsid w:val="008D258D"/>
    <w:rsid w:val="00940304"/>
    <w:rsid w:val="00997907"/>
    <w:rsid w:val="00DC409A"/>
    <w:rsid w:val="00DF6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C200E"/>
  <w15:chartTrackingRefBased/>
  <w15:docId w15:val="{80E09A7F-09A7-4DA5-BD6B-A96DF7E5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F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5F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5F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5F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5F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5F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F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F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F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F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5F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5F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5F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5F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5F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F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F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F41"/>
    <w:rPr>
      <w:rFonts w:eastAsiaTheme="majorEastAsia" w:cstheme="majorBidi"/>
      <w:color w:val="272727" w:themeColor="text1" w:themeTint="D8"/>
    </w:rPr>
  </w:style>
  <w:style w:type="paragraph" w:styleId="Title">
    <w:name w:val="Title"/>
    <w:basedOn w:val="Normal"/>
    <w:next w:val="Normal"/>
    <w:link w:val="TitleChar"/>
    <w:uiPriority w:val="10"/>
    <w:qFormat/>
    <w:rsid w:val="00505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F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F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F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F41"/>
    <w:pPr>
      <w:spacing w:before="160"/>
      <w:jc w:val="center"/>
    </w:pPr>
    <w:rPr>
      <w:i/>
      <w:iCs/>
      <w:color w:val="404040" w:themeColor="text1" w:themeTint="BF"/>
    </w:rPr>
  </w:style>
  <w:style w:type="character" w:customStyle="1" w:styleId="QuoteChar">
    <w:name w:val="Quote Char"/>
    <w:basedOn w:val="DefaultParagraphFont"/>
    <w:link w:val="Quote"/>
    <w:uiPriority w:val="29"/>
    <w:rsid w:val="00505F41"/>
    <w:rPr>
      <w:i/>
      <w:iCs/>
      <w:color w:val="404040" w:themeColor="text1" w:themeTint="BF"/>
    </w:rPr>
  </w:style>
  <w:style w:type="paragraph" w:styleId="ListParagraph">
    <w:name w:val="List Paragraph"/>
    <w:basedOn w:val="Normal"/>
    <w:uiPriority w:val="34"/>
    <w:qFormat/>
    <w:rsid w:val="00505F41"/>
    <w:pPr>
      <w:ind w:left="720"/>
      <w:contextualSpacing/>
    </w:pPr>
  </w:style>
  <w:style w:type="character" w:styleId="IntenseEmphasis">
    <w:name w:val="Intense Emphasis"/>
    <w:basedOn w:val="DefaultParagraphFont"/>
    <w:uiPriority w:val="21"/>
    <w:qFormat/>
    <w:rsid w:val="00505F41"/>
    <w:rPr>
      <w:i/>
      <w:iCs/>
      <w:color w:val="0F4761" w:themeColor="accent1" w:themeShade="BF"/>
    </w:rPr>
  </w:style>
  <w:style w:type="paragraph" w:styleId="IntenseQuote">
    <w:name w:val="Intense Quote"/>
    <w:basedOn w:val="Normal"/>
    <w:next w:val="Normal"/>
    <w:link w:val="IntenseQuoteChar"/>
    <w:uiPriority w:val="30"/>
    <w:qFormat/>
    <w:rsid w:val="00505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5F41"/>
    <w:rPr>
      <w:i/>
      <w:iCs/>
      <w:color w:val="0F4761" w:themeColor="accent1" w:themeShade="BF"/>
    </w:rPr>
  </w:style>
  <w:style w:type="character" w:styleId="IntenseReference">
    <w:name w:val="Intense Reference"/>
    <w:basedOn w:val="DefaultParagraphFont"/>
    <w:uiPriority w:val="32"/>
    <w:qFormat/>
    <w:rsid w:val="00505F41"/>
    <w:rPr>
      <w:b/>
      <w:bCs/>
      <w:smallCaps/>
      <w:color w:val="0F4761" w:themeColor="accent1" w:themeShade="BF"/>
      <w:spacing w:val="5"/>
    </w:rPr>
  </w:style>
  <w:style w:type="paragraph" w:styleId="FootnoteText">
    <w:name w:val="footnote text"/>
    <w:link w:val="FootnoteTextChar"/>
    <w:uiPriority w:val="99"/>
    <w:semiHidden/>
    <w:unhideWhenUsed/>
    <w:rsid w:val="00505F41"/>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505F41"/>
    <w:rPr>
      <w:rFonts w:ascii="Times New Roman" w:eastAsia="Times New Roman" w:hAnsi="Times New Roman" w:cs="Times New Roman"/>
      <w:kern w:val="0"/>
      <w:sz w:val="20"/>
      <w:szCs w:val="20"/>
      <w14:ligatures w14:val="none"/>
    </w:rPr>
  </w:style>
  <w:style w:type="paragraph" w:styleId="NoSpacing">
    <w:name w:val="No Spacing"/>
    <w:uiPriority w:val="1"/>
    <w:qFormat/>
    <w:rsid w:val="00842EB5"/>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Mos64</b:Tag>
    <b:SourceType>Book</b:SourceType>
    <b:Guid>{76F287EF-2969-477F-9363-629EAE6A8842}</b:Guid>
    <b:Author>
      <b:Author>
        <b:NameList>
          <b:Person>
            <b:Last>Mosteller </b:Last>
            <b:First>F.</b:First>
          </b:Person>
          <b:Person>
            <b:Last>Wallace</b:Last>
            <b:First>D.L.</b:First>
          </b:Person>
        </b:NameList>
      </b:Author>
    </b:Author>
    <b:Title>Inference and Disputed Authorship, The Federalist.</b:Title>
    <b:Year>1964</b:Year>
    <b:City>Reading</b:City>
    <b:Publisher>Addison-Wesley</b:Publisher>
    <b:RefOrder>18</b:RefOrder>
  </b:Source>
</b:Sources>
</file>

<file path=customXml/itemProps1.xml><?xml version="1.0" encoding="utf-8"?>
<ds:datastoreItem xmlns:ds="http://schemas.openxmlformats.org/officeDocument/2006/customXml" ds:itemID="{AFF232B9-D071-4BBE-A49C-4DF37A00E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1318</Words>
  <Characters>7517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Gentile</dc:creator>
  <cp:keywords/>
  <dc:description/>
  <cp:lastModifiedBy>David Gentile</cp:lastModifiedBy>
  <cp:revision>4</cp:revision>
  <dcterms:created xsi:type="dcterms:W3CDTF">2026-08-07T16:18:00Z</dcterms:created>
  <dcterms:modified xsi:type="dcterms:W3CDTF">2026-08-07T19:11:00Z</dcterms:modified>
</cp:coreProperties>
</file>